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12" w:rsidRPr="00560E13" w:rsidRDefault="00302912" w:rsidP="00E90836">
      <w:pPr>
        <w:ind w:firstLine="709"/>
        <w:jc w:val="right"/>
      </w:pPr>
      <w:r w:rsidRPr="00560E13">
        <w:t>Таблица № 2</w:t>
      </w:r>
    </w:p>
    <w:p w:rsidR="00302912" w:rsidRDefault="00302912" w:rsidP="00E90836">
      <w:pPr>
        <w:ind w:firstLine="709"/>
        <w:jc w:val="right"/>
      </w:pPr>
    </w:p>
    <w:p w:rsidR="00BC1CD1" w:rsidRPr="00560E13" w:rsidRDefault="00BC1CD1" w:rsidP="00BC1CD1">
      <w:pPr>
        <w:jc w:val="center"/>
      </w:pPr>
      <w:r w:rsidRPr="00560E13">
        <w:t>Информация о порядке сбора информации для определения (расчета)</w:t>
      </w:r>
    </w:p>
    <w:p w:rsidR="00BC1CD1" w:rsidRDefault="00BC1CD1" w:rsidP="00BC1CD1">
      <w:pPr>
        <w:jc w:val="center"/>
      </w:pPr>
      <w:r w:rsidRPr="00560E13">
        <w:t>плановых и фактических значений целевых индикаторов государственной программы Новосибирской области «Управление финансами в Новосибирской области»</w:t>
      </w:r>
    </w:p>
    <w:p w:rsidR="006B4271" w:rsidRDefault="006B4271" w:rsidP="00BC1CD1">
      <w:pPr>
        <w:jc w:val="center"/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559"/>
        <w:gridCol w:w="1559"/>
        <w:gridCol w:w="5387"/>
        <w:gridCol w:w="3543"/>
      </w:tblGrid>
      <w:tr w:rsidR="006B4271" w:rsidRPr="002A4F2B" w:rsidTr="00433DDD">
        <w:trPr>
          <w:tblHeader/>
        </w:trPr>
        <w:tc>
          <w:tcPr>
            <w:tcW w:w="1134" w:type="dxa"/>
          </w:tcPr>
          <w:p w:rsidR="006B4271" w:rsidRPr="002A4F2B" w:rsidRDefault="006B4271" w:rsidP="00433DDD">
            <w:pPr>
              <w:tabs>
                <w:tab w:val="left" w:pos="4111"/>
              </w:tabs>
              <w:ind w:left="-114" w:right="-135"/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№</w:t>
            </w:r>
          </w:p>
          <w:p w:rsidR="006B4271" w:rsidRPr="002A4F2B" w:rsidRDefault="006B4271" w:rsidP="00433DDD">
            <w:pPr>
              <w:tabs>
                <w:tab w:val="left" w:pos="4111"/>
              </w:tabs>
              <w:ind w:left="-114" w:right="-135"/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целевого индикатора</w:t>
            </w:r>
          </w:p>
        </w:tc>
        <w:tc>
          <w:tcPr>
            <w:tcW w:w="2694" w:type="dxa"/>
            <w:vAlign w:val="center"/>
          </w:tcPr>
          <w:p w:rsidR="006B4271" w:rsidRPr="002A4F2B" w:rsidRDefault="006B4271" w:rsidP="00433DDD">
            <w:pPr>
              <w:tabs>
                <w:tab w:val="left" w:pos="4111"/>
              </w:tabs>
              <w:ind w:left="-114" w:right="-135"/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559" w:type="dxa"/>
            <w:vAlign w:val="center"/>
          </w:tcPr>
          <w:p w:rsidR="006B4271" w:rsidRPr="002A4F2B" w:rsidRDefault="006B4271" w:rsidP="00433DDD">
            <w:pPr>
              <w:ind w:left="-114" w:right="-135"/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 xml:space="preserve">Периодичность сбора </w:t>
            </w:r>
          </w:p>
        </w:tc>
        <w:tc>
          <w:tcPr>
            <w:tcW w:w="1559" w:type="dxa"/>
            <w:vAlign w:val="center"/>
          </w:tcPr>
          <w:p w:rsidR="006B4271" w:rsidRPr="002A4F2B" w:rsidRDefault="006B4271" w:rsidP="00433DDD">
            <w:pPr>
              <w:ind w:left="-114" w:right="-135"/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Вид временной характеристики</w:t>
            </w:r>
          </w:p>
        </w:tc>
        <w:tc>
          <w:tcPr>
            <w:tcW w:w="5387" w:type="dxa"/>
            <w:vAlign w:val="center"/>
          </w:tcPr>
          <w:p w:rsidR="006B4271" w:rsidRPr="002A4F2B" w:rsidRDefault="006B4271" w:rsidP="00433DDD">
            <w:pPr>
              <w:ind w:left="-114" w:right="-135"/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Методика расчета (плановых и фактических значений)</w:t>
            </w:r>
          </w:p>
        </w:tc>
        <w:tc>
          <w:tcPr>
            <w:tcW w:w="3543" w:type="dxa"/>
            <w:vAlign w:val="center"/>
          </w:tcPr>
          <w:p w:rsidR="006B4271" w:rsidRPr="002A4F2B" w:rsidRDefault="006B4271" w:rsidP="00433DDD">
            <w:pPr>
              <w:ind w:left="-114" w:right="-135"/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Источник получения данных/примечание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6B4271" w:rsidRPr="002A4F2B" w:rsidRDefault="006B4271" w:rsidP="00433DDD">
            <w:pPr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6B4271" w:rsidRPr="002A4F2B" w:rsidRDefault="006B4271" w:rsidP="00433DDD">
            <w:pPr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6B4271" w:rsidRPr="002A4F2B" w:rsidRDefault="006B4271" w:rsidP="00433DDD">
            <w:pPr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  <w:vAlign w:val="center"/>
          </w:tcPr>
          <w:p w:rsidR="006B4271" w:rsidRPr="002A4F2B" w:rsidRDefault="006B4271" w:rsidP="00433DDD">
            <w:pPr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vAlign w:val="center"/>
          </w:tcPr>
          <w:p w:rsidR="006B4271" w:rsidRPr="002A4F2B" w:rsidRDefault="006B4271" w:rsidP="00433DDD">
            <w:pPr>
              <w:jc w:val="center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6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>Отклонение фактического исполнения налоговых и неналоговых доходов областного бюджета от первоначальных плановых показателей, рассчитанных с учетом изменений законодательства, принятых после утверждения закона об областном бюджете на очередной финансовый год и плановый период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годовая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 xml:space="preserve">1. Плановые значения целевого индикатора установлены исходя из целей и задач налоговой политики Новосибирской области. 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2. Фактическое значение целевого индикатора рассчитывается по формуле: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|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1п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1к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*100%-100%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|</m:t>
                </m:r>
              </m:oMath>
            </m:oMathPara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где: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И</w:t>
            </w:r>
            <w:r w:rsidRPr="002A4F2B">
              <w:rPr>
                <w:sz w:val="22"/>
                <w:szCs w:val="22"/>
                <w:vertAlign w:val="subscript"/>
              </w:rPr>
              <w:t>1</w:t>
            </w:r>
            <w:r w:rsidRPr="002A4F2B">
              <w:rPr>
                <w:sz w:val="22"/>
                <w:szCs w:val="22"/>
              </w:rPr>
              <w:t xml:space="preserve"> – целевой индикатор 1 «Отклонение фактического исполнения налоговых и неналоговых доходов </w:t>
            </w:r>
            <w:r>
              <w:rPr>
                <w:sz w:val="22"/>
                <w:szCs w:val="22"/>
              </w:rPr>
              <w:t>областного бюджета</w:t>
            </w:r>
            <w:r w:rsidRPr="002A4F2B">
              <w:rPr>
                <w:sz w:val="22"/>
                <w:szCs w:val="22"/>
              </w:rPr>
              <w:t xml:space="preserve"> от первоначальных плановых показателей с учетом изменений законодательства, принятых после утверждения закона об областном бюджете на очередной финансовый год и плановый период»,</w:t>
            </w:r>
            <w:r w:rsidR="00F823FD">
              <w:rPr>
                <w:sz w:val="22"/>
                <w:szCs w:val="22"/>
              </w:rPr>
              <w:t xml:space="preserve"> </w:t>
            </w:r>
            <w:r w:rsidRPr="002A4F2B">
              <w:rPr>
                <w:sz w:val="22"/>
                <w:szCs w:val="22"/>
              </w:rPr>
              <w:t>%;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1ф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объем фактического исполнения налоговых и неналоговых доходов </w:t>
            </w:r>
            <w:r w:rsidR="006B4271">
              <w:rPr>
                <w:sz w:val="22"/>
                <w:szCs w:val="22"/>
              </w:rPr>
              <w:t>областного бюджета</w:t>
            </w:r>
            <w:r w:rsidR="006B4271" w:rsidRPr="002A4F2B">
              <w:rPr>
                <w:sz w:val="22"/>
                <w:szCs w:val="22"/>
              </w:rPr>
              <w:t xml:space="preserve"> за отчетный период, </w:t>
            </w:r>
            <w:proofErr w:type="spellStart"/>
            <w:proofErr w:type="gramStart"/>
            <w:r w:rsidR="006B4271" w:rsidRPr="002A4F2B">
              <w:rPr>
                <w:sz w:val="22"/>
                <w:szCs w:val="22"/>
              </w:rPr>
              <w:t>тыс.рублей</w:t>
            </w:r>
            <w:proofErr w:type="spellEnd"/>
            <w:proofErr w:type="gramEnd"/>
            <w:r w:rsidR="006B4271" w:rsidRPr="002A4F2B">
              <w:rPr>
                <w:sz w:val="22"/>
                <w:szCs w:val="22"/>
              </w:rPr>
              <w:t>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1п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>– объем первоначального плана налоговых и неналоговых доходов областного бюджета за отчетный период, тыс. рублей;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1к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сумма корректировки первоначальных плановых показателей, связанной с изменением </w:t>
            </w:r>
            <w:r w:rsidR="006B4271" w:rsidRPr="002A4F2B">
              <w:rPr>
                <w:sz w:val="22"/>
                <w:szCs w:val="22"/>
              </w:rPr>
              <w:lastRenderedPageBreak/>
              <w:t>законодательства после утверждения закона об областном бюджете на очередной финансовый год и плановый период, тыс. рублей.</w:t>
            </w:r>
          </w:p>
          <w:p w:rsidR="006B4271" w:rsidRPr="002A4F2B" w:rsidRDefault="004225BE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мероприятий 1.1.1, 1.1.3, 1.1.4, а также реализация общепрограммных меропри</w:t>
            </w:r>
            <w:r w:rsidR="00BF5792">
              <w:rPr>
                <w:sz w:val="22"/>
                <w:szCs w:val="22"/>
              </w:rPr>
              <w:t>ятий</w:t>
            </w:r>
          </w:p>
        </w:tc>
        <w:tc>
          <w:tcPr>
            <w:tcW w:w="3543" w:type="dxa"/>
          </w:tcPr>
          <w:p w:rsidR="006B4271" w:rsidRDefault="006B4271" w:rsidP="00433DDD">
            <w:pPr>
              <w:jc w:val="both"/>
              <w:rPr>
                <w:sz w:val="22"/>
                <w:szCs w:val="22"/>
              </w:rPr>
            </w:pPr>
            <w:r w:rsidRPr="009C555A">
              <w:rPr>
                <w:sz w:val="22"/>
                <w:szCs w:val="22"/>
              </w:rPr>
              <w:lastRenderedPageBreak/>
              <w:t>Экспертная оценка, ведомственные данные</w:t>
            </w:r>
            <w:r>
              <w:rPr>
                <w:sz w:val="22"/>
                <w:szCs w:val="22"/>
              </w:rPr>
              <w:t>.</w:t>
            </w:r>
          </w:p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 xml:space="preserve">Отчет об исполнении </w:t>
            </w:r>
            <w:r>
              <w:rPr>
                <w:sz w:val="22"/>
                <w:szCs w:val="22"/>
              </w:rPr>
              <w:t>областного бюджета</w:t>
            </w:r>
            <w:r w:rsidRPr="002A4F2B">
              <w:rPr>
                <w:sz w:val="22"/>
                <w:szCs w:val="22"/>
              </w:rPr>
              <w:t>. Закон об областном бюджете Новосибирской области на очередной финансовый год и плановый период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>Доля эффективных льгот в общем объеме всех предоставленных региональным законодательством налоговых льгот в областной бюджет</w:t>
            </w:r>
            <w:r w:rsidR="008D0170">
              <w:rPr>
                <w:rFonts w:ascii="Times New Roman" w:hAnsi="Times New Roman" w:cs="Times New Roman"/>
              </w:rPr>
              <w:t xml:space="preserve"> </w:t>
            </w:r>
            <w:r w:rsidR="008D0170" w:rsidRPr="008D0170">
              <w:rPr>
                <w:rFonts w:ascii="Times New Roman" w:hAnsi="Times New Roman" w:cs="Times New Roman"/>
              </w:rPr>
              <w:t>по итогам оценки эффективности за год, предшествующий отчетному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годовая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1. Плановое значение целевого индикатора определяется исходя из целей и задач налоговой политики Новосибирской области.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2.</w:t>
            </w:r>
            <w:r w:rsidR="00CC7FD4">
              <w:rPr>
                <w:sz w:val="22"/>
                <w:szCs w:val="22"/>
              </w:rPr>
              <w:t> </w:t>
            </w:r>
            <w:r w:rsidRPr="002A4F2B">
              <w:rPr>
                <w:sz w:val="22"/>
                <w:szCs w:val="22"/>
              </w:rPr>
              <w:t>Фактическое значение целевого индикатора рассчитывается по формуле: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э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где: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="006B4271" w:rsidRPr="002A4F2B">
              <w:rPr>
                <w:sz w:val="22"/>
                <w:szCs w:val="22"/>
                <w:vertAlign w:val="subscript"/>
              </w:rPr>
              <w:t xml:space="preserve"> </w:t>
            </w:r>
            <w:r w:rsidR="006B4271" w:rsidRPr="002A4F2B">
              <w:rPr>
                <w:sz w:val="22"/>
                <w:szCs w:val="22"/>
              </w:rPr>
              <w:t>– целевой индикатор 3 «</w:t>
            </w:r>
            <w:r w:rsidR="006B4271" w:rsidRPr="006F4093">
              <w:rPr>
                <w:sz w:val="22"/>
                <w:szCs w:val="22"/>
              </w:rPr>
              <w:t>Доля эффективных льгот в общем объеме всех предоставленных региональным законодательством налоговых льгот в областной бюджет</w:t>
            </w:r>
            <w:r w:rsidR="008D0170">
              <w:rPr>
                <w:sz w:val="22"/>
                <w:szCs w:val="22"/>
              </w:rPr>
              <w:t xml:space="preserve"> </w:t>
            </w:r>
            <w:r w:rsidR="008D0170" w:rsidRPr="008D0170">
              <w:rPr>
                <w:sz w:val="22"/>
                <w:szCs w:val="22"/>
              </w:rPr>
              <w:t>по итогам оценки эффективности за год, предшествующий отчетному</w:t>
            </w:r>
            <w:r w:rsidR="006B4271" w:rsidRPr="002A4F2B">
              <w:rPr>
                <w:sz w:val="22"/>
                <w:szCs w:val="22"/>
              </w:rPr>
              <w:t xml:space="preserve">», </w:t>
            </w:r>
            <w:r w:rsidR="006B4271">
              <w:rPr>
                <w:sz w:val="22"/>
                <w:szCs w:val="22"/>
              </w:rPr>
              <w:t>%</w:t>
            </w:r>
            <w:r w:rsidR="006B4271" w:rsidRPr="002A4F2B">
              <w:rPr>
                <w:sz w:val="22"/>
                <w:szCs w:val="22"/>
              </w:rPr>
              <w:t>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3э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6B4271" w:rsidRPr="002A4F2B">
              <w:rPr>
                <w:sz w:val="22"/>
                <w:szCs w:val="22"/>
              </w:rPr>
              <w:t xml:space="preserve">– </w:t>
            </w:r>
            <w:r w:rsidR="006B4271">
              <w:rPr>
                <w:sz w:val="22"/>
                <w:szCs w:val="22"/>
              </w:rPr>
              <w:t xml:space="preserve">объем предоставленных налоговых льгот, признанных эффективными </w:t>
            </w:r>
            <w:r w:rsidR="006B4271" w:rsidRPr="002A4F2B">
              <w:rPr>
                <w:sz w:val="22"/>
                <w:szCs w:val="22"/>
              </w:rPr>
              <w:t>в соответствии с методикой, установленной областным исполнительным органом государственной власти Новосибирской области;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</w:t>
            </w:r>
            <w:r w:rsidR="006B4271">
              <w:rPr>
                <w:sz w:val="22"/>
                <w:szCs w:val="22"/>
              </w:rPr>
              <w:t xml:space="preserve">общий </w:t>
            </w:r>
            <w:r w:rsidR="006B4271" w:rsidRPr="002A4F2B">
              <w:rPr>
                <w:sz w:val="22"/>
                <w:szCs w:val="22"/>
              </w:rPr>
              <w:t>объем предоставленн</w:t>
            </w:r>
            <w:r w:rsidR="006B4271">
              <w:rPr>
                <w:sz w:val="22"/>
                <w:szCs w:val="22"/>
              </w:rPr>
              <w:t>ых</w:t>
            </w:r>
            <w:r w:rsidR="006B4271" w:rsidRPr="002A4F2B">
              <w:rPr>
                <w:sz w:val="22"/>
                <w:szCs w:val="22"/>
              </w:rPr>
              <w:t xml:space="preserve"> налогов</w:t>
            </w:r>
            <w:r w:rsidR="006B4271">
              <w:rPr>
                <w:sz w:val="22"/>
                <w:szCs w:val="22"/>
              </w:rPr>
              <w:t>ых льгот</w:t>
            </w:r>
            <w:r w:rsidR="006B4271" w:rsidRPr="002A4F2B">
              <w:rPr>
                <w:sz w:val="22"/>
                <w:szCs w:val="22"/>
              </w:rPr>
              <w:t>.</w:t>
            </w:r>
          </w:p>
          <w:p w:rsidR="006B4271" w:rsidRPr="002A4F2B" w:rsidRDefault="004225BE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</w:t>
            </w:r>
            <w:r w:rsidR="006B4271">
              <w:rPr>
                <w:sz w:val="22"/>
                <w:szCs w:val="22"/>
              </w:rPr>
              <w:t>й 1.1.1,</w:t>
            </w:r>
            <w:r w:rsidR="006B4271" w:rsidRPr="002A4F2B">
              <w:rPr>
                <w:sz w:val="22"/>
                <w:szCs w:val="22"/>
              </w:rPr>
              <w:t xml:space="preserve"> 1.1.2, а также реализация общепрограммных мероприятий</w:t>
            </w:r>
          </w:p>
        </w:tc>
        <w:tc>
          <w:tcPr>
            <w:tcW w:w="3543" w:type="dxa"/>
          </w:tcPr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Управление федеральной налоговой службы по Новосибирской области, областные исполнительные органы государственной власти Новосибирской области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6B4271" w:rsidRPr="008C27EE" w:rsidRDefault="006B4271" w:rsidP="00345A6C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 xml:space="preserve">Доля платежных документов на осуществление </w:t>
            </w:r>
            <w:r w:rsidR="00345A6C">
              <w:rPr>
                <w:rFonts w:ascii="Times New Roman" w:hAnsi="Times New Roman" w:cs="Times New Roman"/>
              </w:rPr>
              <w:lastRenderedPageBreak/>
              <w:t>перечислений</w:t>
            </w:r>
            <w:r w:rsidRPr="008C27EE">
              <w:rPr>
                <w:rFonts w:ascii="Times New Roman" w:hAnsi="Times New Roman" w:cs="Times New Roman"/>
              </w:rPr>
              <w:t>, исполненных финансовым органом в установленный законодательством срок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квартальная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 xml:space="preserve">1. Плановое значение целевого индикатора определяется исходя из необходимости </w:t>
            </w:r>
            <w:r w:rsidRPr="002A4F2B">
              <w:rPr>
                <w:sz w:val="22"/>
                <w:szCs w:val="22"/>
              </w:rPr>
              <w:lastRenderedPageBreak/>
              <w:t xml:space="preserve">осуществления всех </w:t>
            </w:r>
            <w:r w:rsidR="00345A6C">
              <w:rPr>
                <w:sz w:val="22"/>
                <w:szCs w:val="22"/>
              </w:rPr>
              <w:t>перечислений</w:t>
            </w:r>
            <w:r w:rsidRPr="002A4F2B">
              <w:rPr>
                <w:sz w:val="22"/>
                <w:szCs w:val="22"/>
              </w:rPr>
              <w:t xml:space="preserve"> в установленный срок.</w:t>
            </w:r>
          </w:p>
          <w:p w:rsidR="006B4271" w:rsidRPr="002A4F2B" w:rsidRDefault="00CC7FD4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r w:rsidR="006B4271" w:rsidRPr="002A4F2B">
              <w:rPr>
                <w:sz w:val="22"/>
                <w:szCs w:val="22"/>
              </w:rPr>
              <w:t>Фактическое значение целевого индикатора рассчитывается по формуле: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4и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где: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oMath>
            <w:r w:rsidR="00CC7FD4">
              <w:rPr>
                <w:sz w:val="22"/>
                <w:szCs w:val="22"/>
              </w:rPr>
              <w:t> </w:t>
            </w:r>
            <w:r w:rsidR="00CC7FD4" w:rsidRPr="002A4F2B">
              <w:rPr>
                <w:sz w:val="22"/>
                <w:szCs w:val="22"/>
              </w:rPr>
              <w:t>–</w:t>
            </w:r>
            <w:r w:rsidR="00CC7FD4">
              <w:rPr>
                <w:sz w:val="22"/>
                <w:szCs w:val="22"/>
              </w:rPr>
              <w:t> </w:t>
            </w:r>
            <w:r w:rsidR="006B4271" w:rsidRPr="002A4F2B">
              <w:rPr>
                <w:sz w:val="22"/>
                <w:szCs w:val="22"/>
              </w:rPr>
              <w:t xml:space="preserve">целевой индикатор 4 «Доля платежных документов на осуществление </w:t>
            </w:r>
            <w:r w:rsidR="00322616">
              <w:rPr>
                <w:sz w:val="22"/>
                <w:szCs w:val="22"/>
              </w:rPr>
              <w:t>перечислений</w:t>
            </w:r>
            <w:r w:rsidR="006B4271" w:rsidRPr="002A4F2B">
              <w:rPr>
                <w:sz w:val="22"/>
                <w:szCs w:val="22"/>
              </w:rPr>
              <w:t>, исполненных финансовым органом в установленный законодательством срок», %;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4и</m:t>
                  </m:r>
                </m:sub>
              </m:sSub>
            </m:oMath>
            <w:r w:rsidR="00CC7FD4">
              <w:rPr>
                <w:sz w:val="22"/>
                <w:szCs w:val="22"/>
              </w:rPr>
              <w:t> </w:t>
            </w:r>
            <w:r w:rsidR="006B4271" w:rsidRPr="002A4F2B">
              <w:rPr>
                <w:sz w:val="22"/>
                <w:szCs w:val="22"/>
              </w:rPr>
              <w:t>–</w:t>
            </w:r>
            <w:r w:rsidR="00CC7FD4">
              <w:rPr>
                <w:sz w:val="22"/>
                <w:szCs w:val="22"/>
              </w:rPr>
              <w:t> </w:t>
            </w:r>
            <w:r w:rsidR="006B4271" w:rsidRPr="002A4F2B">
              <w:rPr>
                <w:sz w:val="22"/>
                <w:szCs w:val="22"/>
              </w:rPr>
              <w:t xml:space="preserve">количество платежных документов на осуществление </w:t>
            </w:r>
            <w:r w:rsidR="00322616">
              <w:rPr>
                <w:sz w:val="22"/>
                <w:szCs w:val="22"/>
              </w:rPr>
              <w:t>перечислений</w:t>
            </w:r>
            <w:r w:rsidR="006B4271" w:rsidRPr="002A4F2B">
              <w:rPr>
                <w:sz w:val="22"/>
                <w:szCs w:val="22"/>
              </w:rPr>
              <w:t>, исполненных финансовым органом в установленный законодательством срок, ед.;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="006B4271" w:rsidRPr="002A4F2B">
              <w:rPr>
                <w:sz w:val="22"/>
                <w:szCs w:val="22"/>
              </w:rPr>
              <w:t>– общее количество платежных документов, успешно прошедших процедуру санкционирования, ед.</w:t>
            </w:r>
          </w:p>
          <w:p w:rsidR="006B4271" w:rsidRPr="002A4F2B" w:rsidRDefault="00544F00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</w:t>
            </w:r>
            <w:r w:rsidR="006B4271">
              <w:rPr>
                <w:sz w:val="22"/>
                <w:szCs w:val="22"/>
              </w:rPr>
              <w:t>й</w:t>
            </w:r>
            <w:r w:rsidR="006B4271" w:rsidRPr="002A4F2B">
              <w:rPr>
                <w:sz w:val="22"/>
                <w:szCs w:val="22"/>
              </w:rPr>
              <w:t xml:space="preserve"> </w:t>
            </w:r>
            <w:r w:rsidR="006B4271">
              <w:rPr>
                <w:sz w:val="22"/>
                <w:szCs w:val="22"/>
              </w:rPr>
              <w:t xml:space="preserve">1.1.1, </w:t>
            </w:r>
            <w:r w:rsidR="006B4271" w:rsidRPr="002A4F2B">
              <w:rPr>
                <w:sz w:val="22"/>
                <w:szCs w:val="22"/>
              </w:rPr>
              <w:t>1.1.5, а также реализация общепрограммных мероприятий</w:t>
            </w:r>
          </w:p>
        </w:tc>
        <w:tc>
          <w:tcPr>
            <w:tcW w:w="3543" w:type="dxa"/>
            <w:shd w:val="clear" w:color="auto" w:fill="auto"/>
          </w:tcPr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Автоматизированная информационная система «Бюджет»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>Доля просроченной кредиторской задолженности в расходах консолидированного бюджета Новосибирской области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годовая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 xml:space="preserve">1. Плановое значение целевого индикатора определено в соответствии со значениями аналогичного показателя для Новосибирской области, предусмотренного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445. 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2. Фактическое значение целевого индикатора рассчитывается по формуле: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5к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где: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целевой индикатор 5 «Доля просроченной кредиторской задолженности в расходах консолидированного бюджета Новосибирской области», %;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5к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объем просроченной кредиторской задолженности, сложившейся по итогам исполнения консолидированного бюджета Новосибирской области в отчетном периоде, тыс. рублей;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объем произведенных расходов консолидированного бюджета Новосибирской области в отчетном году, тыс. рублей.</w:t>
            </w:r>
          </w:p>
          <w:p w:rsidR="006B4271" w:rsidRPr="002A4F2B" w:rsidRDefault="004225BE" w:rsidP="008D017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мероприятий</w:t>
            </w:r>
            <w:r w:rsidR="006B4271">
              <w:rPr>
                <w:sz w:val="22"/>
                <w:szCs w:val="22"/>
              </w:rPr>
              <w:t xml:space="preserve"> 1.1.1,</w:t>
            </w:r>
            <w:r w:rsidR="006B4271" w:rsidRPr="002A4F2B">
              <w:rPr>
                <w:sz w:val="22"/>
                <w:szCs w:val="22"/>
              </w:rPr>
              <w:t xml:space="preserve"> 1.1.4, 1.1.5, 1.1.7, 1.1.9, а также реализация общепрограммных мероприятий</w:t>
            </w:r>
          </w:p>
        </w:tc>
        <w:tc>
          <w:tcPr>
            <w:tcW w:w="3543" w:type="dxa"/>
          </w:tcPr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 xml:space="preserve">Объем произведенных расходов консолидированного бюджета Новосибирской области отражен в Отчете об исполнении консолидированного бюджета субъекта Российской Федерации </w:t>
            </w:r>
          </w:p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и бюджета территориального государственного внебюджетного фонда (ф.0503317);</w:t>
            </w:r>
          </w:p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Объем просроченной кредиторской задолженности, сложившейся по итогам исполнения консолидированного бюджета Новосибирской области, отражен в справочной таблице к отчету об исполнении консолидированного бюджета субъекта Российской Федерации (ф.0503387)</w:t>
            </w:r>
          </w:p>
        </w:tc>
      </w:tr>
      <w:tr w:rsidR="007879DA" w:rsidRPr="002A4F2B" w:rsidTr="00433DDD">
        <w:trPr>
          <w:trHeight w:val="333"/>
        </w:trPr>
        <w:tc>
          <w:tcPr>
            <w:tcW w:w="1134" w:type="dxa"/>
          </w:tcPr>
          <w:p w:rsidR="007879DA" w:rsidRPr="002A4F2B" w:rsidRDefault="007879DA" w:rsidP="007879DA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94" w:type="dxa"/>
          </w:tcPr>
          <w:p w:rsidR="007879DA" w:rsidRPr="008C27EE" w:rsidRDefault="007879DA" w:rsidP="007879DA">
            <w:pPr>
              <w:pStyle w:val="ConsPlusCell"/>
              <w:rPr>
                <w:rFonts w:ascii="Times New Roman" w:hAnsi="Times New Roman" w:cs="Times New Roman"/>
              </w:rPr>
            </w:pPr>
            <w:r w:rsidRPr="00192B4D">
              <w:rPr>
                <w:rFonts w:ascii="Times New Roman" w:hAnsi="Times New Roman" w:cs="Times New Roman"/>
              </w:rPr>
              <w:t xml:space="preserve">Уровень дефицита областного бюджета (без учёта остатков средств на </w:t>
            </w:r>
            <w:r w:rsidRPr="00A54293">
              <w:rPr>
                <w:rFonts w:ascii="Times New Roman" w:hAnsi="Times New Roman" w:cs="Times New Roman"/>
              </w:rPr>
              <w:t xml:space="preserve">счетах по учету средств бюджетов и </w:t>
            </w:r>
            <w:r w:rsidRPr="009652DF">
              <w:rPr>
                <w:rFonts w:ascii="Times New Roman" w:hAnsi="Times New Roman" w:cs="Times New Roman"/>
              </w:rPr>
              <w:t xml:space="preserve">суммы </w:t>
            </w:r>
            <w:r w:rsidRPr="00A54293">
              <w:rPr>
                <w:rFonts w:ascii="Times New Roman" w:hAnsi="Times New Roman" w:cs="Times New Roman"/>
              </w:rPr>
              <w:t>превышений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A54293">
              <w:rPr>
                <w:rFonts w:ascii="Times New Roman" w:hAnsi="Times New Roman" w:cs="Times New Roman"/>
              </w:rPr>
              <w:t>допустимых в соответствии с бюджетным законодательством</w:t>
            </w:r>
            <w:r>
              <w:t xml:space="preserve"> </w:t>
            </w:r>
            <w:r w:rsidRPr="006010C9">
              <w:rPr>
                <w:rFonts w:ascii="Times New Roman" w:hAnsi="Times New Roman" w:cs="Times New Roman"/>
              </w:rPr>
              <w:t>и нормативными правовыми актами, регулирующими бюджетные правоотношения</w:t>
            </w:r>
            <w:r w:rsidRPr="00A54293">
              <w:rPr>
                <w:rFonts w:ascii="Times New Roman" w:hAnsi="Times New Roman" w:cs="Times New Roman"/>
              </w:rPr>
              <w:t xml:space="preserve">) от общего </w:t>
            </w:r>
            <w:r w:rsidRPr="00A54293">
              <w:rPr>
                <w:rFonts w:ascii="Times New Roman" w:hAnsi="Times New Roman" w:cs="Times New Roman"/>
              </w:rPr>
              <w:lastRenderedPageBreak/>
              <w:t>годового объема доходов областного бюджета без учета объема безвозмездных</w:t>
            </w:r>
            <w:r w:rsidRPr="00192B4D">
              <w:rPr>
                <w:rFonts w:ascii="Times New Roman" w:hAnsi="Times New Roman" w:cs="Times New Roman"/>
              </w:rPr>
              <w:t xml:space="preserve"> поступлений</w:t>
            </w:r>
          </w:p>
        </w:tc>
        <w:tc>
          <w:tcPr>
            <w:tcW w:w="1559" w:type="dxa"/>
          </w:tcPr>
          <w:p w:rsidR="007879DA" w:rsidRPr="002A4F2B" w:rsidRDefault="007879DA" w:rsidP="007879DA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годовая</w:t>
            </w:r>
          </w:p>
        </w:tc>
        <w:tc>
          <w:tcPr>
            <w:tcW w:w="1559" w:type="dxa"/>
          </w:tcPr>
          <w:p w:rsidR="007879DA" w:rsidRPr="002A4F2B" w:rsidRDefault="007879DA" w:rsidP="007879DA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7879DA" w:rsidRPr="007D50B5" w:rsidRDefault="007879DA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D50B5">
              <w:rPr>
                <w:sz w:val="22"/>
                <w:szCs w:val="22"/>
              </w:rPr>
              <w:t xml:space="preserve">1. Плановые значения целевого индикатора установлены исходя из целей и задач </w:t>
            </w:r>
            <w:r>
              <w:rPr>
                <w:sz w:val="22"/>
                <w:szCs w:val="22"/>
              </w:rPr>
              <w:t xml:space="preserve">бюджетной </w:t>
            </w:r>
            <w:r w:rsidRPr="007D50B5">
              <w:rPr>
                <w:sz w:val="22"/>
                <w:szCs w:val="22"/>
              </w:rPr>
              <w:t xml:space="preserve">политики Новосибирской области.  </w:t>
            </w:r>
          </w:p>
          <w:p w:rsidR="007879DA" w:rsidRPr="007D50B5" w:rsidRDefault="007879DA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D50B5">
              <w:rPr>
                <w:sz w:val="22"/>
                <w:szCs w:val="22"/>
              </w:rPr>
              <w:t>2. Фактическое значение целевого индикатора рассчитывается по формуле:</w:t>
            </w:r>
          </w:p>
          <w:p w:rsidR="007879DA" w:rsidRPr="007D50B5" w:rsidRDefault="007879DA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879DA" w:rsidRPr="007D50B5" w:rsidRDefault="000D3F3C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6деф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6ост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 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6дп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6дох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879DA" w:rsidRPr="007D50B5" w:rsidRDefault="007879DA" w:rsidP="006244B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D50B5">
              <w:rPr>
                <w:sz w:val="22"/>
                <w:szCs w:val="22"/>
              </w:rPr>
              <w:t>где:</w:t>
            </w:r>
          </w:p>
          <w:p w:rsidR="007879DA" w:rsidRPr="007D50B5" w:rsidRDefault="000D3F3C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</m:oMath>
            <w:r w:rsidR="007879DA" w:rsidRPr="007D50B5">
              <w:rPr>
                <w:sz w:val="22"/>
                <w:szCs w:val="22"/>
              </w:rPr>
              <w:t xml:space="preserve"> – целевой индикатор 6 «</w:t>
            </w:r>
            <w:r w:rsidR="007879DA" w:rsidRPr="00192B4D">
              <w:rPr>
                <w:sz w:val="22"/>
                <w:szCs w:val="22"/>
              </w:rPr>
              <w:t>Уровень дефицита областного бюджета (</w:t>
            </w:r>
            <w:r w:rsidR="00EC28A7" w:rsidRPr="00EC28A7">
              <w:rPr>
                <w:sz w:val="22"/>
                <w:szCs w:val="22"/>
              </w:rPr>
              <w:t>без учёта остатков средств на счетах по учету средств бюджетов и суммы превышений, допустимых в соответствии с бюджетным законодательством и нормативными правовыми актами, регулирующими бюджетные правоотношения</w:t>
            </w:r>
            <w:r w:rsidR="007879DA" w:rsidRPr="00192B4D">
              <w:rPr>
                <w:sz w:val="22"/>
                <w:szCs w:val="22"/>
              </w:rPr>
              <w:t>) от общего годового объема доходов областного бюджета без учета объема безвозмездных поступлений</w:t>
            </w:r>
            <w:r w:rsidR="007879DA" w:rsidRPr="007D50B5">
              <w:rPr>
                <w:sz w:val="22"/>
                <w:szCs w:val="22"/>
              </w:rPr>
              <w:t>», %;</w:t>
            </w:r>
          </w:p>
          <w:p w:rsidR="007879DA" w:rsidRPr="007D50B5" w:rsidRDefault="000D3F3C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6деф</m:t>
                  </m:r>
                </m:sub>
              </m:sSub>
            </m:oMath>
            <w:r w:rsidR="007879DA" w:rsidRPr="007D50B5">
              <w:rPr>
                <w:sz w:val="22"/>
                <w:szCs w:val="22"/>
              </w:rPr>
              <w:t xml:space="preserve"> – объем дефицита областного бюджета, тыс. рублей;</w:t>
            </w:r>
          </w:p>
          <w:p w:rsidR="007879DA" w:rsidRDefault="007879DA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D50B5">
              <w:rPr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6ост</m:t>
                  </m:r>
                </m:sub>
              </m:sSub>
            </m:oMath>
            <w:r w:rsidRPr="007D50B5">
              <w:rPr>
                <w:sz w:val="22"/>
                <w:szCs w:val="22"/>
              </w:rPr>
              <w:t xml:space="preserve"> – объем остатков средств на счетах по учету средств бюджетов без учета невыясненных поступлений и средств федерального бюджета, тыс. рублей;</w:t>
            </w:r>
          </w:p>
          <w:p w:rsidR="007879DA" w:rsidRDefault="000D3F3C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6дп</m:t>
                  </m:r>
                </m:sub>
              </m:sSub>
            </m:oMath>
            <w:r w:rsidR="007879DA">
              <w:rPr>
                <w:sz w:val="22"/>
                <w:szCs w:val="22"/>
              </w:rPr>
              <w:t xml:space="preserve"> – </w:t>
            </w:r>
            <w:r w:rsidR="007879DA" w:rsidRPr="00A54293">
              <w:rPr>
                <w:sz w:val="22"/>
                <w:szCs w:val="22"/>
              </w:rPr>
              <w:t>объем дефицита, сложившийся за счет сумм</w:t>
            </w:r>
            <w:r w:rsidR="007879DA">
              <w:rPr>
                <w:sz w:val="22"/>
                <w:szCs w:val="22"/>
              </w:rPr>
              <w:t>ы</w:t>
            </w:r>
            <w:r w:rsidR="007879DA" w:rsidRPr="00A54293">
              <w:rPr>
                <w:sz w:val="22"/>
                <w:szCs w:val="22"/>
              </w:rPr>
              <w:t xml:space="preserve"> допустимых превышений показателя размера дефицита бюджета, установленного </w:t>
            </w:r>
            <w:r w:rsidR="007879DA">
              <w:rPr>
                <w:sz w:val="22"/>
                <w:szCs w:val="22"/>
              </w:rPr>
              <w:t>с</w:t>
            </w:r>
            <w:r w:rsidR="007879DA" w:rsidRPr="00A54293">
              <w:rPr>
                <w:sz w:val="22"/>
                <w:szCs w:val="22"/>
              </w:rPr>
              <w:t>оглашениями о реструктуризации бюджетных кредитов, в соответствии с  Федеральным законом от 01.04.2020 №</w:t>
            </w:r>
            <w:r w:rsidR="007E6F9C">
              <w:rPr>
                <w:sz w:val="22"/>
                <w:szCs w:val="22"/>
              </w:rPr>
              <w:t> </w:t>
            </w:r>
            <w:r w:rsidR="007879DA" w:rsidRPr="00A54293">
              <w:rPr>
                <w:sz w:val="22"/>
                <w:szCs w:val="22"/>
              </w:rPr>
              <w:t>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Федеральным законом от 15.10.2020 №</w:t>
            </w:r>
            <w:r w:rsidR="007E6F9C">
              <w:rPr>
                <w:sz w:val="22"/>
                <w:szCs w:val="22"/>
              </w:rPr>
              <w:t> </w:t>
            </w:r>
            <w:r w:rsidR="007879DA" w:rsidRPr="00A54293">
              <w:rPr>
                <w:sz w:val="22"/>
                <w:szCs w:val="22"/>
              </w:rPr>
              <w:t>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году», Постановлением Правительства Российской Федерации от 13.12.2017 №</w:t>
            </w:r>
            <w:r w:rsidR="007E6F9C">
              <w:rPr>
                <w:sz w:val="22"/>
                <w:szCs w:val="22"/>
              </w:rPr>
              <w:t> </w:t>
            </w:r>
            <w:r w:rsidR="007879DA" w:rsidRPr="00A54293">
              <w:rPr>
                <w:sz w:val="22"/>
                <w:szCs w:val="22"/>
              </w:rPr>
              <w:t xml:space="preserve">1531 «О проведении в 2017 году реструктуризации обязательств (задолженности) субъектов Российской </w:t>
            </w:r>
            <w:r w:rsidR="007879DA" w:rsidRPr="00A54293">
              <w:rPr>
                <w:sz w:val="22"/>
                <w:szCs w:val="22"/>
              </w:rPr>
              <w:lastRenderedPageBreak/>
              <w:t>Федерации перед Российской Федерацией по бюджетным кредитам», тыс. рублей</w:t>
            </w:r>
            <w:r w:rsidR="007879DA">
              <w:rPr>
                <w:sz w:val="22"/>
                <w:szCs w:val="22"/>
              </w:rPr>
              <w:t>;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6дох</m:t>
                  </m:r>
                </m:sub>
              </m:sSub>
            </m:oMath>
            <w:r w:rsidR="007879DA" w:rsidRPr="007D50B5">
              <w:rPr>
                <w:sz w:val="22"/>
                <w:szCs w:val="22"/>
              </w:rPr>
              <w:t>– годовой объем доходов областного бюджета без учета объема безвозм</w:t>
            </w:r>
            <w:r w:rsidR="00AD5664">
              <w:rPr>
                <w:sz w:val="22"/>
                <w:szCs w:val="22"/>
              </w:rPr>
              <w:t>ездных поступлений, тыс. рублей.</w:t>
            </w:r>
          </w:p>
          <w:p w:rsidR="007879DA" w:rsidRPr="007D50B5" w:rsidRDefault="004225BE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7879DA" w:rsidRPr="007D50B5">
              <w:rPr>
                <w:sz w:val="22"/>
                <w:szCs w:val="22"/>
              </w:rPr>
              <w:t>На достижение целевого индикатора оказывает влияние выполнение мероприятий 1.1.3, 1.1.4, а также реализация общепрограммных мероприятий</w:t>
            </w:r>
          </w:p>
        </w:tc>
        <w:tc>
          <w:tcPr>
            <w:tcW w:w="3543" w:type="dxa"/>
          </w:tcPr>
          <w:p w:rsidR="007879DA" w:rsidRDefault="007879DA" w:rsidP="007879DA">
            <w:pPr>
              <w:jc w:val="both"/>
              <w:rPr>
                <w:sz w:val="22"/>
                <w:szCs w:val="22"/>
              </w:rPr>
            </w:pPr>
            <w:r w:rsidRPr="007D50B5">
              <w:rPr>
                <w:sz w:val="22"/>
                <w:szCs w:val="22"/>
              </w:rPr>
              <w:lastRenderedPageBreak/>
              <w:t xml:space="preserve">Отчет об исполнении </w:t>
            </w:r>
            <w:r>
              <w:rPr>
                <w:sz w:val="22"/>
                <w:szCs w:val="22"/>
              </w:rPr>
              <w:t>областного бюджета</w:t>
            </w:r>
            <w:r w:rsidRPr="007D50B5">
              <w:rPr>
                <w:sz w:val="22"/>
                <w:szCs w:val="22"/>
              </w:rPr>
              <w:t>. Закон об областном бюджете Новосибирской области на очередной финансовый год и плановый период</w:t>
            </w:r>
          </w:p>
          <w:p w:rsidR="007879DA" w:rsidRDefault="007879DA" w:rsidP="007879DA">
            <w:pPr>
              <w:jc w:val="both"/>
              <w:rPr>
                <w:sz w:val="22"/>
                <w:szCs w:val="22"/>
              </w:rPr>
            </w:pPr>
          </w:p>
          <w:p w:rsidR="007879DA" w:rsidRDefault="007879DA" w:rsidP="007879DA">
            <w:pPr>
              <w:jc w:val="both"/>
              <w:rPr>
                <w:sz w:val="22"/>
                <w:szCs w:val="22"/>
              </w:rPr>
            </w:pPr>
          </w:p>
          <w:p w:rsidR="007879DA" w:rsidRPr="007D50B5" w:rsidRDefault="007879DA" w:rsidP="007879DA">
            <w:pPr>
              <w:jc w:val="both"/>
              <w:rPr>
                <w:sz w:val="22"/>
                <w:szCs w:val="22"/>
              </w:rPr>
            </w:pPr>
          </w:p>
        </w:tc>
      </w:tr>
      <w:tr w:rsidR="007879DA" w:rsidRPr="002A4F2B" w:rsidTr="00433DDD">
        <w:trPr>
          <w:trHeight w:val="333"/>
        </w:trPr>
        <w:tc>
          <w:tcPr>
            <w:tcW w:w="1134" w:type="dxa"/>
          </w:tcPr>
          <w:p w:rsidR="007879DA" w:rsidRPr="002A4F2B" w:rsidRDefault="007879DA" w:rsidP="007879DA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94" w:type="dxa"/>
          </w:tcPr>
          <w:p w:rsidR="007879DA" w:rsidRPr="008C27EE" w:rsidRDefault="007879DA" w:rsidP="007879DA">
            <w:pPr>
              <w:pStyle w:val="ConsPlusCell"/>
              <w:rPr>
                <w:rFonts w:ascii="Times New Roman" w:hAnsi="Times New Roman" w:cs="Times New Roman"/>
              </w:rPr>
            </w:pPr>
            <w:r w:rsidRPr="00192B4D">
              <w:rPr>
                <w:rFonts w:ascii="Times New Roman" w:hAnsi="Times New Roman" w:cs="Times New Roman"/>
              </w:rPr>
              <w:t>Доля общего объема государственного долга Новосибирской области</w:t>
            </w:r>
            <w:r>
              <w:rPr>
                <w:rFonts w:ascii="Times New Roman" w:hAnsi="Times New Roman" w:cs="Times New Roman"/>
              </w:rPr>
              <w:t xml:space="preserve"> (без учета </w:t>
            </w:r>
            <w:r w:rsidRPr="009652DF">
              <w:rPr>
                <w:rFonts w:ascii="Times New Roman" w:hAnsi="Times New Roman" w:cs="Times New Roman"/>
              </w:rPr>
              <w:t xml:space="preserve">суммы </w:t>
            </w:r>
            <w:r w:rsidRPr="00A54293">
              <w:rPr>
                <w:rFonts w:ascii="Times New Roman" w:hAnsi="Times New Roman" w:cs="Times New Roman"/>
              </w:rPr>
              <w:t>превышений, допустимых в соответствии с бюджетным законодательством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10C9">
              <w:rPr>
                <w:rFonts w:ascii="Times New Roman" w:hAnsi="Times New Roman" w:cs="Times New Roman"/>
              </w:rPr>
              <w:t>и нормативными правовыми актами, регулирующими бюджетные правоотношения</w:t>
            </w:r>
            <w:r>
              <w:rPr>
                <w:rFonts w:ascii="Times New Roman" w:hAnsi="Times New Roman" w:cs="Times New Roman"/>
              </w:rPr>
              <w:t>)</w:t>
            </w:r>
            <w:r w:rsidRPr="00192B4D">
              <w:rPr>
                <w:rFonts w:ascii="Times New Roman" w:hAnsi="Times New Roman" w:cs="Times New Roman"/>
              </w:rPr>
              <w:t xml:space="preserve"> от суммы доходов областного бюджета без учета безвозмездных поступлений</w:t>
            </w:r>
          </w:p>
        </w:tc>
        <w:tc>
          <w:tcPr>
            <w:tcW w:w="1559" w:type="dxa"/>
          </w:tcPr>
          <w:p w:rsidR="007879DA" w:rsidRPr="002A4F2B" w:rsidRDefault="007879DA" w:rsidP="007879DA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 xml:space="preserve">годовая </w:t>
            </w:r>
          </w:p>
        </w:tc>
        <w:tc>
          <w:tcPr>
            <w:tcW w:w="1559" w:type="dxa"/>
          </w:tcPr>
          <w:p w:rsidR="007879DA" w:rsidRPr="002A4F2B" w:rsidRDefault="007879DA" w:rsidP="007879DA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показатель на дату</w:t>
            </w:r>
          </w:p>
        </w:tc>
        <w:tc>
          <w:tcPr>
            <w:tcW w:w="5387" w:type="dxa"/>
          </w:tcPr>
          <w:p w:rsidR="007879DA" w:rsidRPr="002A4F2B" w:rsidRDefault="007879DA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A4F2B">
              <w:rPr>
                <w:sz w:val="22"/>
                <w:szCs w:val="22"/>
              </w:rPr>
              <w:t xml:space="preserve">. Плановое значение целевого индикатора определяется исходя из реализации приоритета по удержанию уровня долговой нагрузки, а также </w:t>
            </w:r>
            <w:r>
              <w:rPr>
                <w:sz w:val="22"/>
                <w:szCs w:val="22"/>
              </w:rPr>
              <w:t>соблюдения условий соглашений</w:t>
            </w:r>
            <w:r w:rsidRPr="002A4F2B">
              <w:rPr>
                <w:sz w:val="22"/>
                <w:szCs w:val="22"/>
              </w:rPr>
              <w:t xml:space="preserve"> с Министерством финансов Российской Федерации о предоставлении бюджетных кредитов Новосибирской области. </w:t>
            </w:r>
          </w:p>
          <w:p w:rsidR="007879DA" w:rsidRPr="002A4F2B" w:rsidRDefault="007879DA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2. Фактическое значение целевого индикатора рассчитывается по формуле:</w:t>
            </w:r>
          </w:p>
          <w:p w:rsidR="007879DA" w:rsidRPr="002A4F2B" w:rsidRDefault="007879DA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879DA" w:rsidRPr="002A4F2B" w:rsidRDefault="000D3F3C" w:rsidP="007879D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7гд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7дп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7д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7бп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7879DA">
            <w:pPr>
              <w:ind w:left="34"/>
              <w:rPr>
                <w:sz w:val="22"/>
                <w:szCs w:val="22"/>
              </w:rPr>
            </w:pPr>
          </w:p>
          <w:p w:rsidR="007879DA" w:rsidRPr="002A4F2B" w:rsidRDefault="007879DA" w:rsidP="007879DA">
            <w:pPr>
              <w:ind w:left="34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где:</w:t>
            </w:r>
          </w:p>
          <w:p w:rsidR="007879DA" w:rsidRPr="002A4F2B" w:rsidRDefault="007879DA" w:rsidP="007879DA">
            <w:pPr>
              <w:ind w:left="34"/>
              <w:jc w:val="both"/>
              <w:rPr>
                <w:sz w:val="22"/>
                <w:szCs w:val="22"/>
              </w:rPr>
            </w:pPr>
          </w:p>
          <w:p w:rsidR="007879DA" w:rsidRPr="002A4F2B" w:rsidRDefault="000D3F3C" w:rsidP="007879DA">
            <w:pPr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sub>
              </m:sSub>
            </m:oMath>
            <w:r w:rsidR="007879DA" w:rsidRPr="002A4F2B">
              <w:rPr>
                <w:sz w:val="22"/>
                <w:szCs w:val="22"/>
              </w:rPr>
              <w:t xml:space="preserve"> – целевой индикатор 7 «Доля общего объема государственного долга Новосибирской области </w:t>
            </w:r>
            <w:r w:rsidR="00AF6BA0">
              <w:t xml:space="preserve">(без учета </w:t>
            </w:r>
            <w:r w:rsidR="00AF6BA0" w:rsidRPr="009652DF">
              <w:t xml:space="preserve">суммы </w:t>
            </w:r>
            <w:r w:rsidR="00AF6BA0" w:rsidRPr="00A54293">
              <w:t>превышений, допустимых в соответствии с бюджетным законодательством</w:t>
            </w:r>
            <w:r w:rsidR="00AF6BA0">
              <w:t xml:space="preserve"> </w:t>
            </w:r>
            <w:r w:rsidR="00AF6BA0" w:rsidRPr="006010C9">
              <w:t>и нормативными правовыми актами, регулирующими бюджетные правоотношения</w:t>
            </w:r>
            <w:r w:rsidR="00AF6BA0">
              <w:t>)</w:t>
            </w:r>
            <w:r w:rsidR="00AF6BA0" w:rsidRPr="00AF6BA0">
              <w:t xml:space="preserve"> </w:t>
            </w:r>
            <w:r w:rsidR="007879DA" w:rsidRPr="002A4F2B">
              <w:rPr>
                <w:sz w:val="22"/>
                <w:szCs w:val="22"/>
              </w:rPr>
              <w:t xml:space="preserve">от суммы доходов </w:t>
            </w:r>
            <w:r w:rsidR="007879DA">
              <w:rPr>
                <w:sz w:val="22"/>
                <w:szCs w:val="22"/>
              </w:rPr>
              <w:t>областного бюджета</w:t>
            </w:r>
            <w:r w:rsidR="007879DA" w:rsidRPr="002A4F2B">
              <w:rPr>
                <w:sz w:val="22"/>
                <w:szCs w:val="22"/>
              </w:rPr>
              <w:t xml:space="preserve"> без учета безвозмездных поступлений», %;</w:t>
            </w:r>
          </w:p>
          <w:p w:rsidR="007879DA" w:rsidRDefault="000D3F3C" w:rsidP="007879DA">
            <w:pPr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7гд</m:t>
                  </m:r>
                </m:sub>
              </m:sSub>
            </m:oMath>
            <w:r w:rsidR="007879DA" w:rsidRPr="002A4F2B">
              <w:rPr>
                <w:sz w:val="22"/>
                <w:szCs w:val="22"/>
              </w:rPr>
              <w:t xml:space="preserve"> – объем государственного долга Новосибирской области, рублей;</w:t>
            </w:r>
          </w:p>
          <w:p w:rsidR="007879DA" w:rsidRDefault="000D3F3C" w:rsidP="007879DA">
            <w:pPr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7дп</m:t>
                  </m:r>
                </m:sub>
              </m:sSub>
            </m:oMath>
            <w:r w:rsidR="007879DA">
              <w:rPr>
                <w:sz w:val="22"/>
                <w:szCs w:val="22"/>
              </w:rPr>
              <w:t xml:space="preserve"> – </w:t>
            </w:r>
            <w:r w:rsidR="007879DA" w:rsidRPr="00A54293">
              <w:rPr>
                <w:sz w:val="22"/>
                <w:szCs w:val="22"/>
              </w:rPr>
              <w:t>объем государственного долга Новосибирской области, сложившийся за счет сумм</w:t>
            </w:r>
            <w:r w:rsidR="007879DA">
              <w:rPr>
                <w:sz w:val="22"/>
                <w:szCs w:val="22"/>
              </w:rPr>
              <w:t>ы</w:t>
            </w:r>
            <w:r w:rsidR="007879DA" w:rsidRPr="00A54293">
              <w:rPr>
                <w:sz w:val="22"/>
                <w:szCs w:val="22"/>
              </w:rPr>
              <w:t xml:space="preserve"> допустимых </w:t>
            </w:r>
            <w:r w:rsidR="007879DA" w:rsidRPr="00A54293">
              <w:rPr>
                <w:sz w:val="22"/>
                <w:szCs w:val="22"/>
              </w:rPr>
              <w:lastRenderedPageBreak/>
              <w:t xml:space="preserve">превышений показателя </w:t>
            </w:r>
            <w:r w:rsidR="007879DA">
              <w:rPr>
                <w:sz w:val="22"/>
                <w:szCs w:val="22"/>
              </w:rPr>
              <w:t>государственного долга</w:t>
            </w:r>
            <w:r w:rsidR="007879DA" w:rsidRPr="00A54293">
              <w:rPr>
                <w:sz w:val="22"/>
                <w:szCs w:val="22"/>
              </w:rPr>
              <w:t xml:space="preserve">, установленного </w:t>
            </w:r>
            <w:r w:rsidR="007879DA">
              <w:rPr>
                <w:sz w:val="22"/>
                <w:szCs w:val="22"/>
              </w:rPr>
              <w:t>с</w:t>
            </w:r>
            <w:r w:rsidR="007879DA" w:rsidRPr="00A54293">
              <w:rPr>
                <w:sz w:val="22"/>
                <w:szCs w:val="22"/>
              </w:rPr>
              <w:t>оглашениями о реструктуризации бюджетных кредитов, в соответствии с  Феде</w:t>
            </w:r>
            <w:r w:rsidR="001F13E8">
              <w:rPr>
                <w:sz w:val="22"/>
                <w:szCs w:val="22"/>
              </w:rPr>
              <w:t>ральным законом от 01.04.2020 № </w:t>
            </w:r>
            <w:r w:rsidR="007879DA" w:rsidRPr="00A54293">
              <w:rPr>
                <w:sz w:val="22"/>
                <w:szCs w:val="22"/>
              </w:rPr>
              <w:t>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Федеральным законом от 15.10.2020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году», Постановлением Правительства Российской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кредитам», рублей</w:t>
            </w:r>
            <w:r w:rsidR="007879DA">
              <w:rPr>
                <w:sz w:val="22"/>
                <w:szCs w:val="22"/>
              </w:rPr>
              <w:t>;</w:t>
            </w:r>
          </w:p>
          <w:p w:rsidR="007879DA" w:rsidRPr="002A4F2B" w:rsidRDefault="000D3F3C" w:rsidP="007879DA">
            <w:pPr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7д</m:t>
                  </m:r>
                </m:sub>
              </m:sSub>
            </m:oMath>
            <w:r w:rsidR="007879DA" w:rsidRPr="002A4F2B">
              <w:rPr>
                <w:sz w:val="22"/>
                <w:szCs w:val="22"/>
              </w:rPr>
              <w:t xml:space="preserve"> – общий объем доходов </w:t>
            </w:r>
            <w:r w:rsidR="007879DA">
              <w:rPr>
                <w:sz w:val="22"/>
                <w:szCs w:val="22"/>
              </w:rPr>
              <w:t>областного бюджета</w:t>
            </w:r>
            <w:r w:rsidR="007879DA" w:rsidRPr="002A4F2B">
              <w:rPr>
                <w:sz w:val="22"/>
                <w:szCs w:val="22"/>
              </w:rPr>
              <w:t>, рублей (для 1-3 кварталов: утвержденное законом об областном бюджете Новосибирской области значение, для 4 квартала: фактическое значение);</w:t>
            </w:r>
          </w:p>
          <w:p w:rsidR="007879DA" w:rsidRPr="002A4F2B" w:rsidRDefault="000D3F3C" w:rsidP="007879DA">
            <w:pPr>
              <w:ind w:left="34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7бп</m:t>
                  </m:r>
                </m:sub>
              </m:sSub>
            </m:oMath>
            <w:r w:rsidR="001F13E8">
              <w:rPr>
                <w:sz w:val="22"/>
                <w:szCs w:val="22"/>
              </w:rPr>
              <w:t> </w:t>
            </w:r>
            <w:r w:rsidR="007879DA" w:rsidRPr="002A4F2B">
              <w:rPr>
                <w:sz w:val="22"/>
                <w:szCs w:val="22"/>
              </w:rPr>
              <w:t xml:space="preserve">– объем безвозмездных поступлений, рублей (для 1-3 кварталов: утвержденное законом об областном бюджете Новосибирской области значение, для 4 квартала: фактическое значение) </w:t>
            </w:r>
          </w:p>
          <w:p w:rsidR="007879DA" w:rsidRPr="002A4F2B" w:rsidRDefault="004225BE" w:rsidP="007879DA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7879DA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мероприятий 1.1.3, 1.1.4, 1.1.6, а также реализация общепрограммных мероприятий</w:t>
            </w:r>
          </w:p>
        </w:tc>
        <w:tc>
          <w:tcPr>
            <w:tcW w:w="3543" w:type="dxa"/>
          </w:tcPr>
          <w:p w:rsidR="007879DA" w:rsidRDefault="007879DA" w:rsidP="007879DA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 xml:space="preserve">Отчет об исполнении </w:t>
            </w:r>
            <w:r>
              <w:rPr>
                <w:sz w:val="22"/>
                <w:szCs w:val="22"/>
              </w:rPr>
              <w:t>областного бюджета</w:t>
            </w:r>
            <w:r w:rsidRPr="002A4F2B">
              <w:rPr>
                <w:sz w:val="22"/>
                <w:szCs w:val="22"/>
              </w:rPr>
              <w:t>. Сведения из государственной долговой книги Новосибирской области. Закон об областном бюджете Новосибирской области на очередной финансовый год и плановый период</w:t>
            </w:r>
          </w:p>
          <w:p w:rsidR="007879DA" w:rsidRPr="002A4F2B" w:rsidRDefault="007879DA" w:rsidP="007879DA">
            <w:pPr>
              <w:jc w:val="both"/>
              <w:rPr>
                <w:sz w:val="22"/>
                <w:szCs w:val="22"/>
              </w:rPr>
            </w:pP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6B4271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6E6DD7">
              <w:rPr>
                <w:rFonts w:ascii="Times New Roman" w:hAnsi="Times New Roman" w:cs="Times New Roman"/>
              </w:rPr>
              <w:t xml:space="preserve">Средний уровень надбавки </w:t>
            </w:r>
            <w:r w:rsidRPr="00797DB6">
              <w:rPr>
                <w:rFonts w:ascii="Times New Roman" w:hAnsi="Times New Roman" w:cs="Times New Roman"/>
              </w:rPr>
              <w:t xml:space="preserve">сверх ключевой ставки Банка России </w:t>
            </w:r>
            <w:r w:rsidRPr="006E6DD7">
              <w:rPr>
                <w:rFonts w:ascii="Times New Roman" w:hAnsi="Times New Roman" w:cs="Times New Roman"/>
              </w:rPr>
              <w:t xml:space="preserve">по привлекаемым кредитным </w:t>
            </w:r>
            <w:r w:rsidRPr="006E6DD7">
              <w:rPr>
                <w:rFonts w:ascii="Times New Roman" w:hAnsi="Times New Roman" w:cs="Times New Roman"/>
              </w:rPr>
              <w:lastRenderedPageBreak/>
              <w:t>ресурсам</w:t>
            </w:r>
          </w:p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годовая</w:t>
            </w:r>
          </w:p>
        </w:tc>
        <w:tc>
          <w:tcPr>
            <w:tcW w:w="1559" w:type="dxa"/>
            <w:shd w:val="clear" w:color="auto" w:fill="auto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  <w:shd w:val="clear" w:color="auto" w:fill="auto"/>
          </w:tcPr>
          <w:p w:rsidR="006B4271" w:rsidRPr="007D50B5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D50B5">
              <w:rPr>
                <w:sz w:val="22"/>
                <w:szCs w:val="22"/>
              </w:rPr>
              <w:t xml:space="preserve">1. Плановое значение целевого индикатора определяется исходя из целей и задач </w:t>
            </w:r>
            <w:r w:rsidR="00345A6C">
              <w:rPr>
                <w:sz w:val="22"/>
                <w:szCs w:val="22"/>
              </w:rPr>
              <w:t xml:space="preserve">государственной </w:t>
            </w:r>
            <w:r w:rsidRPr="007D50B5">
              <w:rPr>
                <w:sz w:val="22"/>
                <w:szCs w:val="22"/>
              </w:rPr>
              <w:t xml:space="preserve">долговой политики Новосибирской области, а также соблюдения условий соглашений с Министерством </w:t>
            </w:r>
            <w:r w:rsidRPr="007D50B5">
              <w:rPr>
                <w:sz w:val="22"/>
                <w:szCs w:val="22"/>
              </w:rPr>
              <w:lastRenderedPageBreak/>
              <w:t xml:space="preserve">финансов Российской Федерации о предоставлении бюджетных кредитов Новосибирской области. </w:t>
            </w:r>
          </w:p>
          <w:p w:rsidR="006B4271" w:rsidRPr="007D50B5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D50B5">
              <w:rPr>
                <w:sz w:val="22"/>
                <w:szCs w:val="22"/>
              </w:rPr>
              <w:t>2. Фактическое значение целевого индикатора рассчитывается по формуле:</w:t>
            </w:r>
          </w:p>
          <w:p w:rsidR="006B4271" w:rsidRPr="007D50B5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7D50B5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О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8i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8i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О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8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  <w:p w:rsidR="006244BA" w:rsidRDefault="006244BA" w:rsidP="00433DDD">
            <w:pPr>
              <w:ind w:left="34"/>
              <w:rPr>
                <w:sz w:val="22"/>
                <w:szCs w:val="22"/>
              </w:rPr>
            </w:pPr>
          </w:p>
          <w:p w:rsidR="006B4271" w:rsidRPr="007D50B5" w:rsidRDefault="006B4271" w:rsidP="00433DDD">
            <w:pPr>
              <w:ind w:left="34"/>
              <w:rPr>
                <w:sz w:val="22"/>
                <w:szCs w:val="22"/>
              </w:rPr>
            </w:pPr>
            <w:r w:rsidRPr="007D50B5">
              <w:rPr>
                <w:sz w:val="22"/>
                <w:szCs w:val="22"/>
              </w:rPr>
              <w:t>где:</w:t>
            </w:r>
          </w:p>
          <w:p w:rsidR="006B4271" w:rsidRPr="007D50B5" w:rsidRDefault="006B4271" w:rsidP="00433DDD">
            <w:pPr>
              <w:ind w:left="34"/>
              <w:jc w:val="both"/>
              <w:rPr>
                <w:sz w:val="22"/>
                <w:szCs w:val="22"/>
              </w:rPr>
            </w:pPr>
          </w:p>
          <w:p w:rsidR="006B4271" w:rsidRPr="007D50B5" w:rsidRDefault="000D3F3C" w:rsidP="00433DDD">
            <w:pPr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sub>
              </m:sSub>
            </m:oMath>
            <w:r w:rsidR="006B4271" w:rsidRPr="007D50B5">
              <w:rPr>
                <w:sz w:val="22"/>
                <w:szCs w:val="22"/>
              </w:rPr>
              <w:t xml:space="preserve"> – целевой индикатор 8 «Средний уровень надбавки </w:t>
            </w:r>
            <w:r w:rsidR="006B4271" w:rsidRPr="00797DB6">
              <w:rPr>
                <w:sz w:val="22"/>
                <w:szCs w:val="22"/>
              </w:rPr>
              <w:t xml:space="preserve">сверх ключевой ставки Банка России </w:t>
            </w:r>
            <w:r w:rsidR="006B4271" w:rsidRPr="007D50B5">
              <w:rPr>
                <w:sz w:val="22"/>
                <w:szCs w:val="22"/>
              </w:rPr>
              <w:t>по привлекаемым</w:t>
            </w:r>
            <w:r w:rsidR="006B4271">
              <w:rPr>
                <w:sz w:val="22"/>
                <w:szCs w:val="22"/>
              </w:rPr>
              <w:t xml:space="preserve"> кредитным ресурсам</w:t>
            </w:r>
            <w:r w:rsidR="006B4271" w:rsidRPr="007D50B5">
              <w:rPr>
                <w:sz w:val="22"/>
                <w:szCs w:val="22"/>
              </w:rPr>
              <w:t>», %;</w:t>
            </w:r>
          </w:p>
          <w:p w:rsidR="006B4271" w:rsidRPr="007D50B5" w:rsidRDefault="000D3F3C" w:rsidP="00433DDD">
            <w:pPr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8i</m:t>
                  </m:r>
                </m:sub>
              </m:sSub>
            </m:oMath>
            <w:r w:rsidR="006B4271" w:rsidRPr="007D50B5">
              <w:rPr>
                <w:sz w:val="22"/>
                <w:szCs w:val="22"/>
              </w:rPr>
              <w:t xml:space="preserve"> – объем </w:t>
            </w:r>
            <w:r w:rsidR="006B4271">
              <w:rPr>
                <w:sz w:val="22"/>
                <w:szCs w:val="22"/>
              </w:rPr>
              <w:t xml:space="preserve">привлеченных в течение отчетного периода </w:t>
            </w:r>
            <w:r w:rsidR="006B4271" w:rsidRPr="007D50B5">
              <w:rPr>
                <w:sz w:val="22"/>
                <w:szCs w:val="22"/>
              </w:rPr>
              <w:t>кредитных ресурсов, рублей;</w:t>
            </w:r>
          </w:p>
          <w:p w:rsidR="006B4271" w:rsidRDefault="000D3F3C" w:rsidP="00433DDD">
            <w:pPr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8i</m:t>
                  </m:r>
                </m:sub>
              </m:sSub>
            </m:oMath>
            <w:r w:rsidR="006B4271" w:rsidRPr="007D50B5">
              <w:rPr>
                <w:sz w:val="22"/>
                <w:szCs w:val="22"/>
              </w:rPr>
              <w:t xml:space="preserve"> – уровень надбавки</w:t>
            </w:r>
            <w:r w:rsidR="006B4271">
              <w:rPr>
                <w:sz w:val="22"/>
                <w:szCs w:val="22"/>
              </w:rPr>
              <w:t xml:space="preserve"> </w:t>
            </w:r>
            <w:r w:rsidR="006B4271" w:rsidRPr="00797DB6">
              <w:rPr>
                <w:sz w:val="22"/>
                <w:szCs w:val="22"/>
              </w:rPr>
              <w:t>сверх ключевой ставки Банка России</w:t>
            </w:r>
            <w:r w:rsidR="006244BA">
              <w:rPr>
                <w:sz w:val="22"/>
                <w:szCs w:val="22"/>
              </w:rPr>
              <w:t xml:space="preserve"> по</w:t>
            </w:r>
            <w:r w:rsidR="006B4271">
              <w:rPr>
                <w:sz w:val="22"/>
                <w:szCs w:val="22"/>
              </w:rPr>
              <w:t xml:space="preserve"> привлеченным в течение отчетного периода </w:t>
            </w:r>
            <w:r w:rsidR="006B4271" w:rsidRPr="007D50B5">
              <w:rPr>
                <w:sz w:val="22"/>
                <w:szCs w:val="22"/>
              </w:rPr>
              <w:t>кредитным ресурсам, %.</w:t>
            </w:r>
          </w:p>
          <w:p w:rsidR="006B4271" w:rsidRPr="007D50B5" w:rsidRDefault="004225BE" w:rsidP="00433DDD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мероприятия 1.1.6, а также реализация общепрограммных мероприятий</w:t>
            </w:r>
          </w:p>
        </w:tc>
        <w:tc>
          <w:tcPr>
            <w:tcW w:w="3543" w:type="dxa"/>
            <w:shd w:val="clear" w:color="auto" w:fill="auto"/>
          </w:tcPr>
          <w:p w:rsidR="006B4271" w:rsidRPr="007D50B5" w:rsidRDefault="006B4271" w:rsidP="00433DDD">
            <w:pPr>
              <w:jc w:val="both"/>
              <w:rPr>
                <w:sz w:val="22"/>
                <w:szCs w:val="22"/>
              </w:rPr>
            </w:pPr>
            <w:r w:rsidRPr="007D50B5">
              <w:rPr>
                <w:sz w:val="22"/>
                <w:szCs w:val="22"/>
              </w:rPr>
              <w:lastRenderedPageBreak/>
              <w:t>Государственные контракты на предоставление Новосибирской области кредитных ресурсов</w:t>
            </w:r>
          </w:p>
          <w:p w:rsidR="006B4271" w:rsidRPr="007D50B5" w:rsidRDefault="006B4271" w:rsidP="00433DDD">
            <w:pPr>
              <w:jc w:val="both"/>
              <w:rPr>
                <w:sz w:val="22"/>
                <w:szCs w:val="22"/>
              </w:rPr>
            </w:pP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к общему объему долговых обязательств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квартальная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1. Плановое значение целевого индикатора определяется как значение, характеризующее отсутствие просроченной задолженности по долговым обязательствам.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2. Фактическое значение целевого индикатора рассчитывается по формуле: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9п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9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433DDD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</w:p>
          <w:p w:rsidR="006B4271" w:rsidRPr="002A4F2B" w:rsidRDefault="006B4271" w:rsidP="006244BA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где: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целевой индикатор 9 «Отношение объема просроченной задолженности по долговым обязательствам к общему объему долговых обязательств», %;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9п</m:t>
                  </m:r>
                </m:sub>
              </m:sSub>
            </m:oMath>
            <w:r w:rsidR="006B4271">
              <w:rPr>
                <w:sz w:val="22"/>
                <w:szCs w:val="22"/>
              </w:rPr>
              <w:t xml:space="preserve"> </w:t>
            </w:r>
            <w:r w:rsidR="006B4271" w:rsidRPr="002A4F2B">
              <w:rPr>
                <w:sz w:val="22"/>
                <w:szCs w:val="22"/>
              </w:rPr>
              <w:t>– объем просроченной задолженности по долговым обязательствам</w:t>
            </w:r>
            <w:r w:rsidR="006B4271">
              <w:rPr>
                <w:sz w:val="22"/>
                <w:szCs w:val="22"/>
              </w:rPr>
              <w:t xml:space="preserve"> Новосибирской области</w:t>
            </w:r>
            <w:r w:rsidR="006B4271" w:rsidRPr="002A4F2B">
              <w:rPr>
                <w:sz w:val="22"/>
                <w:szCs w:val="22"/>
              </w:rPr>
              <w:t>, рублей;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9</m:t>
                  </m:r>
                </m:sub>
              </m:sSub>
            </m:oMath>
            <w:r w:rsidR="006B4271">
              <w:rPr>
                <w:sz w:val="22"/>
                <w:szCs w:val="22"/>
              </w:rPr>
              <w:t xml:space="preserve"> </w:t>
            </w:r>
            <w:r w:rsidR="006B4271" w:rsidRPr="002A4F2B">
              <w:rPr>
                <w:sz w:val="22"/>
                <w:szCs w:val="22"/>
              </w:rPr>
              <w:t>– общий объем долговых обязательств</w:t>
            </w:r>
            <w:r w:rsidR="006B4271">
              <w:rPr>
                <w:sz w:val="22"/>
                <w:szCs w:val="22"/>
              </w:rPr>
              <w:t xml:space="preserve"> Новосибирской области</w:t>
            </w:r>
            <w:r w:rsidR="006B4271" w:rsidRPr="002A4F2B">
              <w:rPr>
                <w:sz w:val="22"/>
                <w:szCs w:val="22"/>
              </w:rPr>
              <w:t>, рублей</w:t>
            </w:r>
          </w:p>
          <w:p w:rsidR="006B4271" w:rsidRPr="002A4F2B" w:rsidRDefault="004225BE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мероприятия 1.1.6, а также реализация общепрограммных мероприятий</w:t>
            </w:r>
          </w:p>
        </w:tc>
        <w:tc>
          <w:tcPr>
            <w:tcW w:w="3543" w:type="dxa"/>
          </w:tcPr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Сведения из государственной долговой книги Новосибирской области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6B4271" w:rsidRPr="00B8306B" w:rsidRDefault="006B4271" w:rsidP="00433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306B">
              <w:rPr>
                <w:rFonts w:ascii="Times New Roman" w:hAnsi="Times New Roman" w:cs="Times New Roman"/>
                <w:sz w:val="22"/>
                <w:szCs w:val="22"/>
              </w:rPr>
              <w:t>Обеспеченность бюджетов муниципальных образований Новосибирской области финансовыми ресурсами</w:t>
            </w:r>
          </w:p>
          <w:p w:rsidR="006B4271" w:rsidRPr="00B8306B" w:rsidRDefault="006B4271" w:rsidP="00433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годовая</w:t>
            </w:r>
          </w:p>
        </w:tc>
        <w:tc>
          <w:tcPr>
            <w:tcW w:w="1559" w:type="dxa"/>
            <w:shd w:val="clear" w:color="auto" w:fill="auto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  <w:shd w:val="clear" w:color="auto" w:fill="auto"/>
          </w:tcPr>
          <w:p w:rsidR="006B4271" w:rsidRPr="00B8306B" w:rsidRDefault="004225BE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</w:t>
            </w:r>
            <w:r w:rsidR="006B4271" w:rsidRPr="00B8306B">
              <w:rPr>
                <w:sz w:val="22"/>
                <w:szCs w:val="22"/>
              </w:rPr>
              <w:t xml:space="preserve">Плановое значение целевого индикатора определяется исходя из </w:t>
            </w:r>
            <w:r w:rsidR="006244BA" w:rsidRPr="006244BA">
              <w:rPr>
                <w:sz w:val="22"/>
                <w:szCs w:val="22"/>
              </w:rPr>
              <w:t>плановых назначений данного показателя на 2019 год, скорректированны</w:t>
            </w:r>
            <w:r w:rsidR="006244BA">
              <w:rPr>
                <w:sz w:val="22"/>
                <w:szCs w:val="22"/>
              </w:rPr>
              <w:t>х на индекс потребительских цен</w:t>
            </w:r>
            <w:r w:rsidR="006B4271" w:rsidRPr="00B8306B">
              <w:rPr>
                <w:sz w:val="22"/>
                <w:szCs w:val="22"/>
              </w:rPr>
              <w:t>.</w:t>
            </w: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2. Фактическое значение целевого индика</w:t>
            </w:r>
            <w:r w:rsidR="001A79FF">
              <w:rPr>
                <w:sz w:val="22"/>
                <w:szCs w:val="22"/>
              </w:rPr>
              <w:t>тора рассчитывается по формуле:</w:t>
            </w:r>
          </w:p>
          <w:p w:rsidR="006B4271" w:rsidRDefault="006B4271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1) для муниципальных районов:</w:t>
            </w:r>
          </w:p>
          <w:p w:rsidR="006244BA" w:rsidRPr="00B8306B" w:rsidRDefault="006244BA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10(мр)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 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10д(мр)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 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10в(мр)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10с(мр)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10(мр)</m:t>
                        </m:r>
                      </m:sub>
                    </m:sSub>
                  </m:den>
                </m:f>
              </m:oMath>
            </m:oMathPara>
          </w:p>
          <w:p w:rsidR="006244BA" w:rsidRDefault="006244BA" w:rsidP="00433D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B4271" w:rsidRDefault="006B4271" w:rsidP="00433D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где:</w:t>
            </w:r>
          </w:p>
          <w:p w:rsidR="006244BA" w:rsidRPr="00B8306B" w:rsidRDefault="006244BA" w:rsidP="00433D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B4271" w:rsidRPr="00B8306B" w:rsidRDefault="000D3F3C" w:rsidP="00433DD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10(мр)</m:t>
                  </m:r>
                </m:sub>
              </m:sSub>
            </m:oMath>
            <w:r w:rsidR="006B4271" w:rsidRPr="00B8306B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индикатор 10 «Обеспеченность бюджетов муниципальных образований Новосибирской области финансовыми ресурсами» для муниципальных районов;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10д(мр)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6B4271" w:rsidRPr="00B8306B">
              <w:rPr>
                <w:sz w:val="22"/>
                <w:szCs w:val="22"/>
              </w:rPr>
              <w:t>– объем налоговых и неналоговых доходов местных бюджетов муниципальных районов Новосибирской области и поселений, входящих в них</w:t>
            </w:r>
            <w:r w:rsidR="006244BA">
              <w:rPr>
                <w:sz w:val="22"/>
                <w:szCs w:val="22"/>
              </w:rPr>
              <w:t xml:space="preserve"> </w:t>
            </w:r>
            <w:r w:rsidR="006244BA" w:rsidRPr="006244BA">
              <w:rPr>
                <w:sz w:val="22"/>
                <w:szCs w:val="22"/>
              </w:rPr>
              <w:lastRenderedPageBreak/>
              <w:t>(без учета поступлений от акцизов на нефтепродукты, транспортного налога, денежных взысканий (штрафов), подлежащих зачислению в местные бюджеты, и платы за негативное воздействие на окружающую среду)</w:t>
            </w:r>
            <w:r w:rsidR="006B4271" w:rsidRPr="00B8306B">
              <w:rPr>
                <w:sz w:val="22"/>
                <w:szCs w:val="22"/>
              </w:rPr>
              <w:t xml:space="preserve">; 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10в(мр)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объем </w:t>
            </w:r>
            <w:r w:rsidR="006B4271" w:rsidRPr="00B8306B">
              <w:rPr>
                <w:bCs/>
                <w:sz w:val="22"/>
                <w:szCs w:val="22"/>
              </w:rPr>
              <w:t xml:space="preserve">дотации на выравнивание бюджетной обеспеченности муниципальных районов Новосибирской области и субвенции на осуществление отдельных государственных полномочий Новосибирской области по расчету и предоставлению дотаций бюджетам поселений, предоставленных местным бюджетам муниципальных районов Новосибирской области из областного бюджета Новосибирской области; 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10с(мр)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объем </w:t>
            </w:r>
            <w:r w:rsidR="006244BA">
              <w:rPr>
                <w:sz w:val="22"/>
                <w:szCs w:val="22"/>
              </w:rPr>
              <w:t xml:space="preserve">части </w:t>
            </w:r>
            <w:r w:rsidR="006B4271" w:rsidRPr="00B8306B">
              <w:rPr>
                <w:bCs/>
                <w:sz w:val="22"/>
                <w:szCs w:val="22"/>
              </w:rPr>
              <w:t>субсидии на обеспечение сбалансированности местных бюджетов, предоставленной местным бюджетам муниципальных районов Новосибирской области из областного бюджета Новосибирской области</w:t>
            </w:r>
            <w:r w:rsidR="006244BA">
              <w:rPr>
                <w:bCs/>
                <w:sz w:val="22"/>
                <w:szCs w:val="22"/>
              </w:rPr>
              <w:t xml:space="preserve">, </w:t>
            </w:r>
            <w:r w:rsidR="006244BA" w:rsidRPr="006244BA">
              <w:rPr>
                <w:bCs/>
                <w:sz w:val="22"/>
                <w:szCs w:val="22"/>
              </w:rPr>
              <w:t>направленной на покрытие недостатка доходов местных бюджетов для финансового обеспечения расходных обязательств по решению вопросов местного значения</w:t>
            </w:r>
            <w:r w:rsidR="006B4271" w:rsidRPr="00B8306B">
              <w:rPr>
                <w:bCs/>
                <w:sz w:val="22"/>
                <w:szCs w:val="22"/>
              </w:rPr>
              <w:t>;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10(мр)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численность жителей муниципальных</w:t>
            </w:r>
            <w:r w:rsidR="001A79FF">
              <w:rPr>
                <w:sz w:val="22"/>
                <w:szCs w:val="22"/>
              </w:rPr>
              <w:t xml:space="preserve"> районов Новосибирской области.</w:t>
            </w: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B8306B">
              <w:rPr>
                <w:sz w:val="22"/>
                <w:szCs w:val="22"/>
              </w:rPr>
              <w:t>2) для городских округов</w:t>
            </w:r>
            <w:r w:rsidRPr="00B8306B">
              <w:rPr>
                <w:sz w:val="22"/>
                <w:szCs w:val="22"/>
                <w:lang w:val="en-US"/>
              </w:rPr>
              <w:t>:</w:t>
            </w:r>
          </w:p>
          <w:p w:rsidR="006B4271" w:rsidRPr="00B8306B" w:rsidRDefault="006B4271" w:rsidP="001A79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10(го)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 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10д(го)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 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10в(го)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10с(го)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10(го)</m:t>
                        </m:r>
                      </m:sub>
                    </m:sSub>
                  </m:den>
                </m:f>
              </m:oMath>
            </m:oMathPara>
          </w:p>
          <w:p w:rsidR="006244BA" w:rsidRDefault="006244BA" w:rsidP="00433D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B4271" w:rsidRDefault="006B4271" w:rsidP="00433D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где:</w:t>
            </w:r>
          </w:p>
          <w:p w:rsidR="006244BA" w:rsidRPr="00B8306B" w:rsidRDefault="006244BA" w:rsidP="00433D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B4271" w:rsidRPr="00B8306B" w:rsidRDefault="000D3F3C" w:rsidP="00433DD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10(го)</m:t>
                  </m:r>
                </m:sub>
              </m:sSub>
            </m:oMath>
            <w:r w:rsidR="006B4271" w:rsidRPr="00B8306B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индикатор 10 «Обеспеченность </w:t>
            </w:r>
            <w:r w:rsidR="006B4271" w:rsidRPr="00B830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бюджетов муниципальных образований Новосибирской области финансовыми ресурсами» для городских округов;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10д(го)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6B4271" w:rsidRPr="00B8306B">
              <w:rPr>
                <w:sz w:val="22"/>
                <w:szCs w:val="22"/>
              </w:rPr>
              <w:t>– объем налоговых и неналоговых доходов местных бюджетов городских округов Новосибирской области</w:t>
            </w:r>
            <w:r w:rsidR="006244BA">
              <w:rPr>
                <w:sz w:val="22"/>
                <w:szCs w:val="22"/>
              </w:rPr>
              <w:t xml:space="preserve"> </w:t>
            </w:r>
            <w:r w:rsidR="006244BA" w:rsidRPr="006244BA">
              <w:rPr>
                <w:sz w:val="22"/>
                <w:szCs w:val="22"/>
              </w:rPr>
              <w:t>(без учета поступлений от акцизов на нефтепродукты, транспортного налога, денежных взысканий (штрафов), подлежащих зачислению в местные бюджеты, и платы за негативное воздействие на окружающую среду)</w:t>
            </w:r>
            <w:r w:rsidR="006B4271" w:rsidRPr="00B8306B">
              <w:rPr>
                <w:sz w:val="22"/>
                <w:szCs w:val="22"/>
              </w:rPr>
              <w:t>;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10в(го)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объем </w:t>
            </w:r>
            <w:r w:rsidR="006B4271" w:rsidRPr="00B8306B">
              <w:rPr>
                <w:bCs/>
                <w:sz w:val="22"/>
                <w:szCs w:val="22"/>
              </w:rPr>
              <w:t xml:space="preserve">дотации на выравнивание бюджетной обеспеченности городских округов Новосибирской области, предоставленной местным бюджетам городских округов Новосибирской области из областного бюджета Новосибирской области; 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10с(го)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объем </w:t>
            </w:r>
            <w:r w:rsidR="006244BA">
              <w:rPr>
                <w:sz w:val="22"/>
                <w:szCs w:val="22"/>
              </w:rPr>
              <w:t xml:space="preserve">части </w:t>
            </w:r>
            <w:r w:rsidR="006B4271" w:rsidRPr="00B8306B">
              <w:rPr>
                <w:bCs/>
                <w:sz w:val="22"/>
                <w:szCs w:val="22"/>
              </w:rPr>
              <w:t>субсидии на обеспечение сбалансированности местных бюджетов, предоставленной местным бюджетам городских округов Новосибирской области из областного бюджета Новосибирской области</w:t>
            </w:r>
            <w:r w:rsidR="006244BA">
              <w:rPr>
                <w:bCs/>
                <w:sz w:val="22"/>
                <w:szCs w:val="22"/>
              </w:rPr>
              <w:t xml:space="preserve">, направленной на </w:t>
            </w:r>
            <w:r w:rsidR="006244BA" w:rsidRPr="006244BA">
              <w:rPr>
                <w:bCs/>
                <w:sz w:val="22"/>
                <w:szCs w:val="22"/>
              </w:rPr>
              <w:t>покрытие недостатка доходов местных бюджетов для финансового обеспечения расходных обязательств по решению вопросов местного значения</w:t>
            </w:r>
            <w:r w:rsidR="006B4271" w:rsidRPr="00B8306B">
              <w:rPr>
                <w:bCs/>
                <w:sz w:val="22"/>
                <w:szCs w:val="22"/>
              </w:rPr>
              <w:t>;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10(го)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численность жителей городских округов Новосибирской области.</w:t>
            </w:r>
          </w:p>
          <w:p w:rsidR="006B4271" w:rsidRPr="00B8306B" w:rsidRDefault="006B4271" w:rsidP="008D017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3. На достижение целевого индикатора оказывает влияние выполнение мероприяти</w:t>
            </w:r>
            <w:r w:rsidR="008D0170">
              <w:rPr>
                <w:sz w:val="22"/>
                <w:szCs w:val="22"/>
              </w:rPr>
              <w:t>я</w:t>
            </w:r>
            <w:r w:rsidRPr="00B8306B">
              <w:rPr>
                <w:sz w:val="22"/>
                <w:szCs w:val="22"/>
              </w:rPr>
              <w:t xml:space="preserve"> 1.1.7</w:t>
            </w:r>
          </w:p>
        </w:tc>
        <w:tc>
          <w:tcPr>
            <w:tcW w:w="3543" w:type="dxa"/>
            <w:shd w:val="clear" w:color="auto" w:fill="auto"/>
          </w:tcPr>
          <w:p w:rsidR="006B4271" w:rsidRPr="00B8306B" w:rsidRDefault="006B4271" w:rsidP="00433DDD">
            <w:pPr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lastRenderedPageBreak/>
              <w:t xml:space="preserve">Отчет об исполнении консолидированного бюджета субъекта Российской Федерации </w:t>
            </w:r>
          </w:p>
          <w:p w:rsidR="006B4271" w:rsidRPr="00B8306B" w:rsidRDefault="006B4271" w:rsidP="00433DDD">
            <w:pPr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и бюджета территориального государственного внебюджетного фонда (ф.0503317).</w:t>
            </w:r>
          </w:p>
          <w:p w:rsidR="006B4271" w:rsidRPr="00B8306B" w:rsidRDefault="006B4271" w:rsidP="00433DDD">
            <w:pPr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Отчет об исполнении областного бюджета. Закон об областном бюджете Новосибирской области на очередной финансовый год и плановый период.</w:t>
            </w:r>
          </w:p>
          <w:p w:rsidR="006B4271" w:rsidRPr="00B8306B" w:rsidRDefault="006B4271" w:rsidP="00433DDD">
            <w:pPr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Статистические данные.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694" w:type="dxa"/>
          </w:tcPr>
          <w:p w:rsidR="006B4271" w:rsidRPr="00B8306B" w:rsidRDefault="006B4271" w:rsidP="00433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306B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образований Новосибирской области, имеющих просроченную кредиторскую задолженность по </w:t>
            </w:r>
            <w:r w:rsidRPr="00B830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приоритетным расходам </w:t>
            </w:r>
          </w:p>
        </w:tc>
        <w:tc>
          <w:tcPr>
            <w:tcW w:w="1559" w:type="dxa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lastRenderedPageBreak/>
              <w:t>квартальная</w:t>
            </w:r>
          </w:p>
        </w:tc>
        <w:tc>
          <w:tcPr>
            <w:tcW w:w="1559" w:type="dxa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B8306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1. Плановое значение целевого индикатора определено исходя из необходимости отсутствия просроченной кредиторской задолженности по приоритетным расходам в муниципальных образованиях</w:t>
            </w:r>
          </w:p>
          <w:p w:rsidR="006B4271" w:rsidRPr="00B8306B" w:rsidRDefault="006B4271" w:rsidP="001A79FF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2. Фактическое значение целевого индика</w:t>
            </w:r>
            <w:r w:rsidR="001A79FF">
              <w:rPr>
                <w:sz w:val="22"/>
                <w:szCs w:val="22"/>
              </w:rPr>
              <w:t>тора рассчитывается по формуле: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11к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где:</w:t>
            </w: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11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целевой индикатор 11 «Доля муниципальных образований, имеющих просроченную кредиторскую задолженность по приоритетным расходам», %;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11к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количество муниципальных образований (муниципальных районов и городских округов), имеющих просроченную кредиторскую задолженность (муниципальные районы – по консолидированному бюджету района, городские округа – по бюджету городского округа) по приоритетным расходам, ед.;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11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количество муниципальных образований (муниципальных районов и городских округов) в Новосибирской области, ед.</w:t>
            </w:r>
          </w:p>
          <w:p w:rsidR="006B4271" w:rsidRPr="00B8306B" w:rsidRDefault="006B4271" w:rsidP="004225BE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3.</w:t>
            </w:r>
            <w:r w:rsidR="004225BE">
              <w:rPr>
                <w:sz w:val="22"/>
                <w:szCs w:val="22"/>
              </w:rPr>
              <w:t> </w:t>
            </w:r>
            <w:r w:rsidRPr="00B8306B">
              <w:rPr>
                <w:sz w:val="22"/>
                <w:szCs w:val="22"/>
              </w:rPr>
              <w:t xml:space="preserve">На достижение целевого индикатора оказывает влияние выполнение </w:t>
            </w:r>
            <w:r w:rsidR="008D0170">
              <w:rPr>
                <w:sz w:val="22"/>
                <w:szCs w:val="22"/>
              </w:rPr>
              <w:t>мероприятий 1.1.1, 1.1.7</w:t>
            </w:r>
            <w:r w:rsidRPr="00B8306B">
              <w:rPr>
                <w:sz w:val="22"/>
                <w:szCs w:val="22"/>
              </w:rPr>
              <w:t>, 1.1.9, а также реализация общепрограммных мероприятий</w:t>
            </w:r>
          </w:p>
        </w:tc>
        <w:tc>
          <w:tcPr>
            <w:tcW w:w="3543" w:type="dxa"/>
            <w:shd w:val="clear" w:color="auto" w:fill="auto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lastRenderedPageBreak/>
              <w:t>Справочная таблица к отчету об исполнении консолидированного бюджета субъекта Российской Федерации (ф.0503387)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</w:tcPr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>Доля муниципальных образований Новосибирской области, обеспечивших достижение уровня средней заработной платы по отдельным категориям работников бюджетной сферы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квартальная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  <w:shd w:val="clear" w:color="auto" w:fill="auto"/>
          </w:tcPr>
          <w:p w:rsidR="006B4271" w:rsidRPr="00206927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A4611E">
              <w:rPr>
                <w:sz w:val="22"/>
                <w:szCs w:val="22"/>
              </w:rPr>
              <w:t>1. Плановое значение целевого индикатора определено исходя из необходимости достижения всеми муниципальными образованиями установленного уровня средней заработной платы по отдельным категориям работников бюджетной сферы (работникам муниципальных учреждений культуры и педагогическим работникам муниципальных учреждений дополнительного образования детей), определенными Указами Президента Российской Федерации.</w:t>
            </w:r>
            <w:r w:rsidRPr="00206927">
              <w:rPr>
                <w:sz w:val="22"/>
                <w:szCs w:val="22"/>
              </w:rPr>
              <w:t xml:space="preserve"> </w:t>
            </w:r>
          </w:p>
          <w:p w:rsidR="006B4271" w:rsidRPr="00206927" w:rsidRDefault="006B4271" w:rsidP="001A79FF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06927">
              <w:rPr>
                <w:sz w:val="22"/>
                <w:szCs w:val="22"/>
              </w:rPr>
              <w:t>2. Фактическое значение целевого индика</w:t>
            </w:r>
            <w:r w:rsidR="001A79FF">
              <w:rPr>
                <w:sz w:val="22"/>
                <w:szCs w:val="22"/>
              </w:rPr>
              <w:t>тора рассчитывается по формуле:</w:t>
            </w:r>
          </w:p>
          <w:p w:rsidR="006B4271" w:rsidRPr="00206927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12д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6244B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Default="006B4271" w:rsidP="006244B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06927">
              <w:rPr>
                <w:sz w:val="22"/>
                <w:szCs w:val="22"/>
              </w:rPr>
              <w:t>где:</w:t>
            </w:r>
          </w:p>
          <w:p w:rsidR="006244BA" w:rsidRPr="00206927" w:rsidRDefault="006244BA" w:rsidP="006244B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06927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12</m:t>
                  </m:r>
                </m:sub>
              </m:sSub>
            </m:oMath>
            <w:r w:rsidR="006B4271" w:rsidRPr="00206927">
              <w:rPr>
                <w:sz w:val="22"/>
                <w:szCs w:val="22"/>
              </w:rPr>
              <w:t xml:space="preserve"> – целевой индикатор 12 «Доля муниципальных образований, обеспечивших достижение уровня средней заработной платы по отдельным категориям работников бюджетной сферы», %;</w:t>
            </w:r>
          </w:p>
          <w:p w:rsidR="006B4271" w:rsidRPr="00206927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12д</m:t>
                  </m:r>
                </m:sub>
              </m:sSub>
            </m:oMath>
            <w:r w:rsidR="006B4271" w:rsidRPr="00206927">
              <w:rPr>
                <w:sz w:val="22"/>
                <w:szCs w:val="22"/>
              </w:rPr>
              <w:t xml:space="preserve"> – количество муниципальных образований (муниципальных районов и городских округов), обеспечивших достижение уровня средней заработной платы по отдельным категориям работников бюджетной сферы (муниципальные районы – по консолидированному бюджету района, городские округа – по бюджету городского округа), ед.;</w:t>
            </w:r>
          </w:p>
          <w:p w:rsidR="006B4271" w:rsidRPr="00206927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12</m:t>
                  </m:r>
                </m:sub>
              </m:sSub>
            </m:oMath>
            <w:r w:rsidR="006B4271" w:rsidRPr="00206927">
              <w:rPr>
                <w:sz w:val="22"/>
                <w:szCs w:val="22"/>
              </w:rPr>
              <w:t xml:space="preserve"> – количество муниципальных образований (муниципальных районов и городских округов) в Новосибирской области, ед.</w:t>
            </w:r>
          </w:p>
          <w:p w:rsidR="006B4271" w:rsidRPr="00206927" w:rsidRDefault="006B4271" w:rsidP="008D017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06927">
              <w:rPr>
                <w:sz w:val="22"/>
                <w:szCs w:val="22"/>
              </w:rPr>
              <w:t>3. На достижение целевого индикатора оказывает влияние выполнение мероприятий 1.1.1, 1.1.7, 1.1.9, а также реализация общепрограммных мероприятий</w:t>
            </w:r>
          </w:p>
        </w:tc>
        <w:tc>
          <w:tcPr>
            <w:tcW w:w="3543" w:type="dxa"/>
            <w:shd w:val="clear" w:color="auto" w:fill="auto"/>
          </w:tcPr>
          <w:p w:rsidR="006B4271" w:rsidRDefault="006B4271" w:rsidP="00433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2A4F2B">
              <w:rPr>
                <w:sz w:val="22"/>
                <w:szCs w:val="22"/>
              </w:rPr>
              <w:t>правочн</w:t>
            </w:r>
            <w:r>
              <w:rPr>
                <w:sz w:val="22"/>
                <w:szCs w:val="22"/>
              </w:rPr>
              <w:t>ая таблица</w:t>
            </w:r>
            <w:r w:rsidRPr="002A4F2B">
              <w:rPr>
                <w:sz w:val="22"/>
                <w:szCs w:val="22"/>
              </w:rPr>
              <w:t xml:space="preserve"> к отчету об исполнении консолидированного бюджета субъекта Российской Федерации (ф.0503387)</w:t>
            </w:r>
          </w:p>
          <w:p w:rsidR="006244BA" w:rsidRPr="006244BA" w:rsidRDefault="006244BA" w:rsidP="006244BA">
            <w:pPr>
              <w:rPr>
                <w:sz w:val="22"/>
                <w:szCs w:val="22"/>
              </w:rPr>
            </w:pPr>
            <w:r w:rsidRPr="006244BA">
              <w:rPr>
                <w:sz w:val="22"/>
                <w:szCs w:val="22"/>
              </w:rPr>
              <w:t xml:space="preserve">Статистические данные </w:t>
            </w:r>
          </w:p>
          <w:p w:rsidR="006244BA" w:rsidRPr="006244BA" w:rsidRDefault="006244BA" w:rsidP="006244BA">
            <w:pPr>
              <w:rPr>
                <w:sz w:val="22"/>
                <w:szCs w:val="22"/>
              </w:rPr>
            </w:pPr>
            <w:r w:rsidRPr="006244BA">
              <w:rPr>
                <w:sz w:val="22"/>
                <w:szCs w:val="22"/>
              </w:rPr>
              <w:t xml:space="preserve">(форма ЗП-культура «Сведения о численности и оплате труда работников сферы культуры по категориям персонала»; </w:t>
            </w:r>
          </w:p>
          <w:p w:rsidR="006244BA" w:rsidRPr="00206927" w:rsidRDefault="006244BA" w:rsidP="006244BA">
            <w:pPr>
              <w:rPr>
                <w:sz w:val="22"/>
                <w:szCs w:val="22"/>
              </w:rPr>
            </w:pPr>
            <w:r w:rsidRPr="006244BA">
              <w:rPr>
                <w:sz w:val="22"/>
                <w:szCs w:val="22"/>
              </w:rPr>
              <w:t>форма ЗП-образование «Сведения о численности и оплате труда работников сферы образо</w:t>
            </w:r>
            <w:r>
              <w:rPr>
                <w:sz w:val="22"/>
                <w:szCs w:val="22"/>
              </w:rPr>
              <w:t>вания по категориям персонала»)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13</w:t>
            </w:r>
          </w:p>
        </w:tc>
        <w:tc>
          <w:tcPr>
            <w:tcW w:w="2694" w:type="dxa"/>
          </w:tcPr>
          <w:p w:rsidR="006B4271" w:rsidRPr="008C27EE" w:rsidRDefault="006B4271" w:rsidP="00433DDD">
            <w:pPr>
              <w:rPr>
                <w:sz w:val="20"/>
                <w:szCs w:val="20"/>
              </w:rPr>
            </w:pPr>
            <w:r w:rsidRPr="008C27EE">
              <w:rPr>
                <w:sz w:val="20"/>
                <w:szCs w:val="20"/>
              </w:rPr>
              <w:t>Оценка качества управления региональными финансами Новосибирской области по результатам мониторинга, проводимого Министерством финансов Российской Федерации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годовая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1.</w:t>
            </w:r>
            <w:r w:rsidR="00E1330A">
              <w:rPr>
                <w:sz w:val="22"/>
                <w:szCs w:val="22"/>
              </w:rPr>
              <w:t> </w:t>
            </w:r>
            <w:r w:rsidRPr="002A4F2B">
              <w:rPr>
                <w:sz w:val="22"/>
                <w:szCs w:val="22"/>
              </w:rPr>
              <w:t>Плановое значение целевого индикатора определяется как целевой ориентир по качеств</w:t>
            </w:r>
            <w:r>
              <w:rPr>
                <w:sz w:val="22"/>
                <w:szCs w:val="22"/>
              </w:rPr>
              <w:t>у</w:t>
            </w:r>
            <w:r w:rsidRPr="002A4F2B">
              <w:rPr>
                <w:sz w:val="22"/>
                <w:szCs w:val="22"/>
              </w:rPr>
              <w:t xml:space="preserve"> управления региональными</w:t>
            </w:r>
            <w:r>
              <w:rPr>
                <w:sz w:val="22"/>
                <w:szCs w:val="22"/>
              </w:rPr>
              <w:t xml:space="preserve"> финансами</w:t>
            </w:r>
            <w:r w:rsidRPr="002A4F2B">
              <w:rPr>
                <w:sz w:val="22"/>
                <w:szCs w:val="22"/>
              </w:rPr>
              <w:t>.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2. Фактическое значение определяется исходя из результатов мониторинга и оценки качества управления региональными финансами, проводимого Министерством финансов Российской Федерации, на текущую дату</w:t>
            </w:r>
            <w:r w:rsidR="00E1330A">
              <w:rPr>
                <w:sz w:val="22"/>
                <w:szCs w:val="22"/>
              </w:rPr>
              <w:t>.</w:t>
            </w:r>
          </w:p>
          <w:p w:rsidR="006B4271" w:rsidRPr="002A4F2B" w:rsidRDefault="004225BE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мероприятия 1.2.1, а также реализация общепрограммных мероприятий</w:t>
            </w:r>
          </w:p>
        </w:tc>
        <w:tc>
          <w:tcPr>
            <w:tcW w:w="3543" w:type="dxa"/>
          </w:tcPr>
          <w:p w:rsidR="006B4271" w:rsidRDefault="006B4271" w:rsidP="00433DDD">
            <w:pPr>
              <w:jc w:val="both"/>
              <w:rPr>
                <w:sz w:val="22"/>
                <w:szCs w:val="22"/>
              </w:rPr>
            </w:pPr>
            <w:r w:rsidRPr="009C555A">
              <w:rPr>
                <w:sz w:val="22"/>
                <w:szCs w:val="22"/>
              </w:rPr>
              <w:t>Экспертная оценка, ведомственные данные</w:t>
            </w:r>
            <w:r>
              <w:rPr>
                <w:sz w:val="22"/>
                <w:szCs w:val="22"/>
              </w:rPr>
              <w:t>.</w:t>
            </w:r>
          </w:p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Официальный сайт Министерства финансов Российской Федерации</w:t>
            </w:r>
          </w:p>
        </w:tc>
      </w:tr>
      <w:tr w:rsidR="000D3F3C" w:rsidRPr="002A4F2B" w:rsidTr="00433DDD">
        <w:trPr>
          <w:trHeight w:val="333"/>
        </w:trPr>
        <w:tc>
          <w:tcPr>
            <w:tcW w:w="1134" w:type="dxa"/>
          </w:tcPr>
          <w:p w:rsidR="000D3F3C" w:rsidRPr="002A4F2B" w:rsidRDefault="000D3F3C" w:rsidP="000D3F3C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694" w:type="dxa"/>
          </w:tcPr>
          <w:p w:rsidR="000D3F3C" w:rsidRPr="00F458AA" w:rsidRDefault="000D3F3C" w:rsidP="000D3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8AA">
              <w:rPr>
                <w:sz w:val="20"/>
                <w:szCs w:val="20"/>
              </w:rPr>
              <w:t>Доля ГАБС, получивших высокие и средние оценки рейтинга по итогам проведения мониторинга качества финансового менеджмента, осуществляемого в отношении ГАБС, в общем количестве ГАБС» (не менее установленного значения целевого индикатора)</w:t>
            </w:r>
          </w:p>
        </w:tc>
        <w:tc>
          <w:tcPr>
            <w:tcW w:w="1559" w:type="dxa"/>
          </w:tcPr>
          <w:p w:rsidR="000D3F3C" w:rsidRPr="002A4F2B" w:rsidRDefault="000D3F3C" w:rsidP="000D3F3C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годовая</w:t>
            </w:r>
          </w:p>
        </w:tc>
        <w:tc>
          <w:tcPr>
            <w:tcW w:w="1559" w:type="dxa"/>
          </w:tcPr>
          <w:p w:rsidR="000D3F3C" w:rsidRPr="002A4F2B" w:rsidRDefault="000D3F3C" w:rsidP="000D3F3C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1. Плановое значение целевого индикатора определяется как целевой ориентир по повышению качества финансового менеджмента, осуществляемого</w:t>
            </w:r>
            <w:r>
              <w:rPr>
                <w:sz w:val="22"/>
                <w:szCs w:val="22"/>
              </w:rPr>
              <w:t xml:space="preserve"> в отношении </w:t>
            </w:r>
            <w:r w:rsidRPr="002A4F2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А</w:t>
            </w:r>
            <w:r w:rsidRPr="002A4F2B">
              <w:rPr>
                <w:sz w:val="22"/>
                <w:szCs w:val="22"/>
              </w:rPr>
              <w:t>БС.</w:t>
            </w:r>
          </w:p>
          <w:p w:rsidR="000D3F3C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A4F2B">
              <w:rPr>
                <w:sz w:val="22"/>
                <w:szCs w:val="22"/>
              </w:rPr>
              <w:t> Фактическое значение целевого индикатора рассчитывается по формуле:</w:t>
            </w:r>
          </w:p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14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14д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</w:p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где:</w:t>
            </w:r>
          </w:p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14</m:t>
                  </m:r>
                </m:sub>
              </m:sSub>
            </m:oMath>
            <w:r w:rsidRPr="002A4F2B">
              <w:rPr>
                <w:sz w:val="22"/>
                <w:szCs w:val="22"/>
              </w:rPr>
              <w:t xml:space="preserve"> – целевой индикатор 14 «</w:t>
            </w:r>
            <w:r w:rsidRPr="000D3F3C">
              <w:rPr>
                <w:sz w:val="22"/>
                <w:szCs w:val="22"/>
              </w:rPr>
              <w:t>Доля ГАБС, получивших высокие и средние оценки рейтинга по итогам проведения мониторинга качества финансового менеджмента, осуществляемого в отношении ГАБС, в общем количестве ГАБС</w:t>
            </w:r>
            <w:r w:rsidRPr="002A4F2B">
              <w:rPr>
                <w:sz w:val="22"/>
                <w:szCs w:val="22"/>
              </w:rPr>
              <w:t>», %;</w:t>
            </w:r>
          </w:p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14д</m:t>
                  </m:r>
                </m:sub>
              </m:sSub>
            </m:oMath>
            <w:r w:rsidRPr="002A4F2B">
              <w:rPr>
                <w:sz w:val="22"/>
                <w:szCs w:val="22"/>
              </w:rPr>
              <w:t xml:space="preserve"> – </w:t>
            </w:r>
            <w:r w:rsidRPr="000D3F3C">
              <w:rPr>
                <w:sz w:val="22"/>
                <w:szCs w:val="22"/>
              </w:rPr>
              <w:t>количество ГАБС, получивших высокие и средние оценки сформированного в отчетном периоде рейтинга по итогам проведения мониторинга качества финансового менеджмента, осуществляемого в отношении ГАБС</w:t>
            </w:r>
            <w:r w:rsidRPr="002A4F2B">
              <w:rPr>
                <w:sz w:val="22"/>
                <w:szCs w:val="22"/>
              </w:rPr>
              <w:t>, единиц;</w:t>
            </w:r>
          </w:p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14</m:t>
                  </m:r>
                </m:sub>
              </m:sSub>
            </m:oMath>
            <w:r w:rsidRPr="002A4F2B">
              <w:rPr>
                <w:sz w:val="22"/>
                <w:szCs w:val="22"/>
              </w:rPr>
              <w:t xml:space="preserve"> – </w:t>
            </w:r>
            <w:r w:rsidRPr="000D3F3C">
              <w:rPr>
                <w:sz w:val="22"/>
                <w:szCs w:val="22"/>
              </w:rPr>
              <w:t>общее количество ГАБС согласно сформированному в отчетном периоде рейтингу по итогам проведения мониторинга качества финансового менеджмента, осуществляемого в отношении ГАБС</w:t>
            </w:r>
            <w:r w:rsidRPr="002A4F2B">
              <w:rPr>
                <w:sz w:val="22"/>
                <w:szCs w:val="22"/>
              </w:rPr>
              <w:t>, единиц.</w:t>
            </w:r>
          </w:p>
          <w:p w:rsidR="000D3F3C" w:rsidRPr="002A4F2B" w:rsidRDefault="000D3F3C" w:rsidP="000D3F3C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мероприятия 1.2.1, а также реализация общепрограммных мероприятий</w:t>
            </w:r>
          </w:p>
        </w:tc>
        <w:tc>
          <w:tcPr>
            <w:tcW w:w="3543" w:type="dxa"/>
          </w:tcPr>
          <w:p w:rsidR="000D3F3C" w:rsidRDefault="000D3F3C" w:rsidP="000D3F3C">
            <w:pPr>
              <w:jc w:val="both"/>
              <w:rPr>
                <w:sz w:val="22"/>
                <w:szCs w:val="22"/>
              </w:rPr>
            </w:pPr>
            <w:r w:rsidRPr="009C555A">
              <w:rPr>
                <w:sz w:val="22"/>
                <w:szCs w:val="22"/>
              </w:rPr>
              <w:t>Экспертная оценка, ведомственные данные</w:t>
            </w:r>
            <w:r>
              <w:rPr>
                <w:sz w:val="22"/>
                <w:szCs w:val="22"/>
              </w:rPr>
              <w:t>.</w:t>
            </w:r>
          </w:p>
          <w:p w:rsidR="000D3F3C" w:rsidRDefault="000D3F3C" w:rsidP="000D3F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МФи</w:t>
            </w:r>
            <w:r w:rsidRPr="002A4F2B">
              <w:rPr>
                <w:sz w:val="22"/>
                <w:szCs w:val="22"/>
              </w:rPr>
              <w:t>НП НСО</w:t>
            </w:r>
            <w:r>
              <w:rPr>
                <w:sz w:val="22"/>
                <w:szCs w:val="22"/>
              </w:rPr>
              <w:t>.</w:t>
            </w:r>
          </w:p>
          <w:p w:rsidR="000D3F3C" w:rsidRPr="002A4F2B" w:rsidRDefault="000D3F3C" w:rsidP="000D3F3C">
            <w:pPr>
              <w:jc w:val="both"/>
              <w:rPr>
                <w:sz w:val="22"/>
                <w:szCs w:val="22"/>
              </w:rPr>
            </w:pPr>
            <w:r w:rsidRPr="000D3F3C">
              <w:rPr>
                <w:sz w:val="22"/>
                <w:szCs w:val="22"/>
              </w:rPr>
              <w:t>Порядок проведения мониторинга и оценки качества финансового менеджмента до 2020 года осуществлялся ГРБС, начиная с 2020 года порядок проведения мониторинга качества финансового менеджмента осуществляется в отношении ГАБС</w:t>
            </w:r>
            <w:bookmarkStart w:id="0" w:name="_GoBack"/>
            <w:bookmarkEnd w:id="0"/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6B4271" w:rsidRDefault="006B4271" w:rsidP="00433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306B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образований Новосибирской области, допустивших нарушения </w:t>
            </w:r>
            <w:r w:rsidRPr="00B830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требований к основным параметрам бюджета, предусмотренных Бюджетным кодексом Российской Федерации</w:t>
            </w:r>
          </w:p>
          <w:p w:rsidR="006B4271" w:rsidRPr="00B8306B" w:rsidDel="00035B54" w:rsidRDefault="006B4271" w:rsidP="00433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lastRenderedPageBreak/>
              <w:t>годовая</w:t>
            </w:r>
          </w:p>
        </w:tc>
        <w:tc>
          <w:tcPr>
            <w:tcW w:w="1559" w:type="dxa"/>
          </w:tcPr>
          <w:p w:rsidR="006B4271" w:rsidRPr="00B8306B" w:rsidRDefault="006B4271" w:rsidP="00433DDD">
            <w:pPr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B8306B" w:rsidRDefault="004225BE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</w:t>
            </w:r>
            <w:r w:rsidR="006B4271" w:rsidRPr="00B8306B">
              <w:rPr>
                <w:sz w:val="22"/>
                <w:szCs w:val="22"/>
              </w:rPr>
              <w:t xml:space="preserve">Плановое значение целевого индикатора определяется исходя из фактических значений данного показателя за прошедшие три года с учетом </w:t>
            </w:r>
            <w:r w:rsidR="006B4271" w:rsidRPr="00B8306B">
              <w:rPr>
                <w:sz w:val="22"/>
                <w:szCs w:val="22"/>
              </w:rPr>
              <w:lastRenderedPageBreak/>
              <w:t>мероприятий, предусмотренных в рамках реализации государственной программы.</w:t>
            </w: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2. Фактическое значение целевого индикатора рассчитывается по формуле:</w:t>
            </w: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15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15н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где:</w:t>
            </w: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15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целевой индикатор 15 «Доля муниципальных образований Новосибирской области, допустивших нарушения требований к основным параметрам бюджета, предусмотренных Бюджетным кодексом Российской Федерации», %;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15н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> – количество муниципальных образований Новосибирской области, допустивших нарушения требований к основным параметрам бюджета, предусмотренных Бюджетным кодексом Российской Федерации, ед.;</w:t>
            </w:r>
          </w:p>
          <w:p w:rsidR="006B4271" w:rsidRPr="00B8306B" w:rsidRDefault="000D3F3C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15</m:t>
                  </m:r>
                </m:sub>
              </m:sSub>
            </m:oMath>
            <w:r w:rsidR="006B4271" w:rsidRPr="00B8306B">
              <w:rPr>
                <w:sz w:val="22"/>
                <w:szCs w:val="22"/>
              </w:rPr>
              <w:t xml:space="preserve"> – количество муниципальных образований в Новосибирской области, ед.</w:t>
            </w:r>
          </w:p>
          <w:p w:rsidR="006B4271" w:rsidRPr="00B8306B" w:rsidRDefault="006B4271" w:rsidP="00433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t>3. На достижение целевого индикатора оказывает влияние выполнение мероприятия 1.2.2, а также реализация общепрограммных мероприятий</w:t>
            </w:r>
          </w:p>
        </w:tc>
        <w:tc>
          <w:tcPr>
            <w:tcW w:w="3543" w:type="dxa"/>
            <w:shd w:val="clear" w:color="auto" w:fill="auto"/>
          </w:tcPr>
          <w:p w:rsidR="006B4271" w:rsidRPr="00B8306B" w:rsidRDefault="006B4271" w:rsidP="00433DDD">
            <w:pPr>
              <w:jc w:val="both"/>
              <w:rPr>
                <w:sz w:val="22"/>
                <w:szCs w:val="22"/>
              </w:rPr>
            </w:pPr>
            <w:r w:rsidRPr="00B8306B">
              <w:rPr>
                <w:sz w:val="22"/>
                <w:szCs w:val="22"/>
              </w:rPr>
              <w:lastRenderedPageBreak/>
              <w:t xml:space="preserve">Мониторинг соблюдения муниципальными образованиями требований бюджетного законодательства Российской </w:t>
            </w:r>
            <w:r w:rsidRPr="00B8306B">
              <w:rPr>
                <w:sz w:val="22"/>
                <w:szCs w:val="22"/>
              </w:rPr>
              <w:lastRenderedPageBreak/>
              <w:t>Федерации и оценки качества управления бюджетным процессом в муниципальных образованиях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694" w:type="dxa"/>
          </w:tcPr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>Позиция Новосибирской области в рейтинге по уровню открытости бюджетных данных, формируемом федеральным государственным бюджетным учреждением</w:t>
            </w:r>
          </w:p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>«Научно-исследовательский финансовый институт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годовая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2A4F2B" w:rsidRDefault="00CF61F2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</w:t>
            </w:r>
            <w:r w:rsidR="006B4271" w:rsidRPr="002A4F2B">
              <w:rPr>
                <w:sz w:val="22"/>
                <w:szCs w:val="22"/>
              </w:rPr>
              <w:t>Плановое значение целевого индикатора определяется как целевой ориентир по уровню открытости бюджетных данных.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2. Фактическое значение определяется исходя из результатов рейтинга субъектов Российской Федерации по уровню открытости бюджетных данных, формируемом Научно-исследовательским финансовым институтом, на текущую дату</w:t>
            </w:r>
          </w:p>
          <w:p w:rsidR="006B4271" w:rsidRPr="002A4F2B" w:rsidRDefault="00CF61F2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мероприятий 2.1.1, 2.1.2, а также реализация общепрограммных мероприятий</w:t>
            </w:r>
          </w:p>
        </w:tc>
        <w:tc>
          <w:tcPr>
            <w:tcW w:w="3543" w:type="dxa"/>
          </w:tcPr>
          <w:p w:rsidR="006B4271" w:rsidRDefault="006B4271" w:rsidP="00433DDD">
            <w:pPr>
              <w:jc w:val="both"/>
              <w:rPr>
                <w:sz w:val="22"/>
                <w:szCs w:val="22"/>
              </w:rPr>
            </w:pPr>
            <w:r w:rsidRPr="009C555A">
              <w:rPr>
                <w:sz w:val="22"/>
                <w:szCs w:val="22"/>
              </w:rPr>
              <w:lastRenderedPageBreak/>
              <w:t>Экспертная оценка, ведомственные данные</w:t>
            </w:r>
            <w:r>
              <w:rPr>
                <w:sz w:val="22"/>
                <w:szCs w:val="22"/>
              </w:rPr>
              <w:t>.</w:t>
            </w:r>
          </w:p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Официальный сайт федерального государ</w:t>
            </w:r>
            <w:r>
              <w:rPr>
                <w:sz w:val="22"/>
                <w:szCs w:val="22"/>
              </w:rPr>
              <w:t xml:space="preserve">ственного бюджетного учреждения </w:t>
            </w:r>
            <w:r w:rsidRPr="002A4F2B">
              <w:rPr>
                <w:sz w:val="22"/>
                <w:szCs w:val="22"/>
              </w:rPr>
              <w:t>«Научно-исследовательский финансовый институт»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17</w:t>
            </w:r>
          </w:p>
        </w:tc>
        <w:tc>
          <w:tcPr>
            <w:tcW w:w="2694" w:type="dxa"/>
          </w:tcPr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>Количество посетителей портала «Открытый бюджет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годовая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2A4F2B" w:rsidRDefault="004225BE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</w:t>
            </w:r>
            <w:r w:rsidR="006B4271" w:rsidRPr="002A4F2B">
              <w:rPr>
                <w:sz w:val="22"/>
                <w:szCs w:val="22"/>
              </w:rPr>
              <w:t>Плановое значение целевого индикатора определяется как целевой ориентир по росту популярности портала «Открытый бюджет Новосибирской области».</w:t>
            </w:r>
          </w:p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2. Фактическое значение определяется посредством специализированного счетчика посещаемости «</w:t>
            </w:r>
            <w:proofErr w:type="spellStart"/>
            <w:r w:rsidRPr="002A4F2B">
              <w:rPr>
                <w:sz w:val="22"/>
                <w:szCs w:val="22"/>
              </w:rPr>
              <w:t>Яндекс.Метрика</w:t>
            </w:r>
            <w:proofErr w:type="spellEnd"/>
            <w:r w:rsidRPr="002A4F2B">
              <w:rPr>
                <w:sz w:val="22"/>
                <w:szCs w:val="22"/>
              </w:rPr>
              <w:t>», размещенным на интернет портале «Открытый бюджет Новосибирской области», на текущую дату</w:t>
            </w:r>
          </w:p>
          <w:p w:rsidR="006B4271" w:rsidRPr="002A4F2B" w:rsidRDefault="004225BE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мероприятий 2.1.1, 2.1.2, а также реализация общепрограммных мероприятий</w:t>
            </w:r>
          </w:p>
        </w:tc>
        <w:tc>
          <w:tcPr>
            <w:tcW w:w="3543" w:type="dxa"/>
          </w:tcPr>
          <w:p w:rsidR="006B4271" w:rsidRDefault="006B4271" w:rsidP="00433DDD">
            <w:pPr>
              <w:jc w:val="both"/>
              <w:rPr>
                <w:sz w:val="22"/>
                <w:szCs w:val="22"/>
              </w:rPr>
            </w:pPr>
            <w:r w:rsidRPr="009C555A">
              <w:rPr>
                <w:sz w:val="22"/>
                <w:szCs w:val="22"/>
              </w:rPr>
              <w:t>Экспертная оценка, ведомственные данные</w:t>
            </w:r>
            <w:r>
              <w:rPr>
                <w:sz w:val="22"/>
                <w:szCs w:val="22"/>
              </w:rPr>
              <w:t>.</w:t>
            </w:r>
          </w:p>
          <w:p w:rsidR="006B4271" w:rsidRPr="002A4F2B" w:rsidRDefault="006B4271" w:rsidP="00433DDD">
            <w:pPr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Портал «Открытый бюджет Новосибирской области»</w:t>
            </w: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18</w:t>
            </w:r>
          </w:p>
        </w:tc>
        <w:tc>
          <w:tcPr>
            <w:tcW w:w="2694" w:type="dxa"/>
          </w:tcPr>
          <w:p w:rsidR="006B4271" w:rsidRPr="008C27EE" w:rsidRDefault="006B4271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8C27EE">
              <w:rPr>
                <w:rFonts w:ascii="Times New Roman" w:hAnsi="Times New Roman" w:cs="Times New Roman"/>
              </w:rPr>
              <w:t>Рост уровня финансовой грамотности населения Новосибирской области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годовая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  <w:shd w:val="clear" w:color="auto" w:fill="auto"/>
          </w:tcPr>
          <w:p w:rsidR="006B4271" w:rsidRPr="007C0CB7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1. Плановое значение целевого индикатора определяется как целевой ориентир по росту уровня финансовой грамотности населения Новосибирской области.</w:t>
            </w:r>
          </w:p>
          <w:p w:rsidR="006B4271" w:rsidRPr="007C0CB7" w:rsidRDefault="006B4271" w:rsidP="006244B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2. Фактическое значение целевого индикатора рассчитывается по формуле:</w:t>
            </w:r>
          </w:p>
          <w:p w:rsidR="006B4271" w:rsidRPr="007C0CB7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7C0CB7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=0,75*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18.1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+0,05*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18.2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+0,05*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18.3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+0,05*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18.4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</m:oMath>
            </m:oMathPara>
          </w:p>
          <w:p w:rsidR="006B4271" w:rsidRPr="007C0CB7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i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+0,05*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18.5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22"/>
                    <w:szCs w:val="22"/>
                  </w:rPr>
                  <m:t>+0,05*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18.6</m:t>
                    </m:r>
                  </m:sub>
                </m:sSub>
              </m:oMath>
            </m:oMathPara>
          </w:p>
          <w:p w:rsidR="006244BA" w:rsidRDefault="006244BA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244BA" w:rsidRDefault="006B4271" w:rsidP="006244B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6244BA" w:rsidRPr="007C0CB7" w:rsidRDefault="006244BA" w:rsidP="006244B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573830" w:rsidRDefault="00573830" w:rsidP="004225BE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18</m:t>
                  </m:r>
                </m:sub>
              </m:sSub>
            </m:oMath>
            <w:r w:rsidR="006B4271" w:rsidRPr="007C0CB7">
              <w:rPr>
                <w:sz w:val="22"/>
                <w:szCs w:val="22"/>
              </w:rPr>
              <w:t xml:space="preserve"> – целевой индикатор 18 «Рост уровня финансовой грамотности насел</w:t>
            </w:r>
            <w:r w:rsidR="004225BE">
              <w:rPr>
                <w:sz w:val="22"/>
                <w:szCs w:val="22"/>
              </w:rPr>
              <w:t>ения Новосибирской области», %;</w:t>
            </w:r>
          </w:p>
          <w:p w:rsidR="00DB738A" w:rsidRDefault="00573830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18.1</m:t>
                  </m:r>
                </m:sub>
              </m:sSub>
            </m:oMath>
            <w:r w:rsidR="00DB738A">
              <w:rPr>
                <w:sz w:val="22"/>
                <w:szCs w:val="22"/>
              </w:rPr>
              <w:t xml:space="preserve"> – р</w:t>
            </w:r>
            <w:r w:rsidR="00DB738A" w:rsidRPr="007C0CB7">
              <w:rPr>
                <w:sz w:val="22"/>
                <w:szCs w:val="22"/>
              </w:rPr>
              <w:t xml:space="preserve">ост среднего балла по базовой финансовой грамотности </w:t>
            </w:r>
            <w:r w:rsidR="00DB738A">
              <w:rPr>
                <w:sz w:val="22"/>
                <w:szCs w:val="22"/>
              </w:rPr>
              <w:t>населения Новосибирской области</w:t>
            </w:r>
            <w:r w:rsidR="00DB738A" w:rsidRPr="007C0CB7">
              <w:rPr>
                <w:sz w:val="22"/>
                <w:szCs w:val="22"/>
              </w:rPr>
              <w:t>, %;</w:t>
            </w:r>
          </w:p>
          <w:p w:rsidR="006244BA" w:rsidRDefault="006244BA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Default="00573830" w:rsidP="001A79FF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где:</w:t>
            </w:r>
          </w:p>
          <w:p w:rsidR="00DB738A" w:rsidRPr="007C0CB7" w:rsidRDefault="000D3F3C" w:rsidP="00DB738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18.1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18.1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DB738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DB738A" w:rsidRDefault="00DB738A" w:rsidP="00DB738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6244BA" w:rsidRPr="007C0CB7" w:rsidRDefault="006244BA" w:rsidP="00DB738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DB738A" w:rsidRPr="007C0CB7" w:rsidRDefault="000D3F3C" w:rsidP="00DB738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18.1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  <w:r w:rsidR="00DB738A" w:rsidRPr="007C0CB7">
              <w:rPr>
                <w:sz w:val="22"/>
                <w:szCs w:val="22"/>
              </w:rPr>
              <w:t xml:space="preserve"> – средний балл, набранный всеми участниками анкетирования после проведения мероприятий по повышению финансовой грамотности населения Новосибирской области в </w:t>
            </w:r>
            <w:proofErr w:type="spellStart"/>
            <w:r w:rsidR="00DB738A" w:rsidRPr="007C0CB7">
              <w:rPr>
                <w:i/>
                <w:sz w:val="22"/>
                <w:szCs w:val="22"/>
                <w:lang w:val="en-US"/>
              </w:rPr>
              <w:t>i</w:t>
            </w:r>
            <w:proofErr w:type="spellEnd"/>
            <w:r w:rsidR="00DB738A" w:rsidRPr="007C0CB7">
              <w:rPr>
                <w:sz w:val="22"/>
                <w:szCs w:val="22"/>
              </w:rPr>
              <w:t>-м году, оценка;</w:t>
            </w:r>
          </w:p>
          <w:p w:rsidR="00DB738A" w:rsidRDefault="000D3F3C" w:rsidP="004225BE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18.1</m:t>
                  </m:r>
                </m:sub>
              </m:sSub>
            </m:oMath>
            <w:r w:rsidR="00DB738A" w:rsidRPr="007C0CB7">
              <w:rPr>
                <w:sz w:val="22"/>
                <w:szCs w:val="22"/>
              </w:rPr>
              <w:t xml:space="preserve"> – средний балл, набранный всеми участниками анкетирования после проведения мероприятий по повышению финансовой грамотности населения Новосибирской области в 2019 году, оценка.</w:t>
            </w:r>
          </w:p>
          <w:p w:rsidR="00573830" w:rsidRDefault="00573830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18.2</m:t>
                  </m:r>
                </m:sub>
              </m:sSub>
            </m:oMath>
            <w:r w:rsidRPr="007C0CB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</w:t>
            </w:r>
            <w:r w:rsidRPr="007C0CB7">
              <w:rPr>
                <w:sz w:val="22"/>
                <w:szCs w:val="22"/>
              </w:rPr>
              <w:t>ост доли населения Новосибирской области, осведомленного о реализации программы п</w:t>
            </w:r>
            <w:r w:rsidR="004A3BF5">
              <w:rPr>
                <w:sz w:val="22"/>
                <w:szCs w:val="22"/>
              </w:rPr>
              <w:t>овышения финансовой грамотности</w:t>
            </w:r>
            <w:r w:rsidRPr="007C0CB7">
              <w:rPr>
                <w:sz w:val="22"/>
                <w:szCs w:val="22"/>
              </w:rPr>
              <w:t>, %;</w:t>
            </w:r>
          </w:p>
          <w:p w:rsidR="006244BA" w:rsidRDefault="006244BA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573830" w:rsidRPr="007C0CB7" w:rsidRDefault="00573830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где:</w:t>
            </w:r>
          </w:p>
          <w:p w:rsidR="00573830" w:rsidRPr="007C0CB7" w:rsidRDefault="00573830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573830" w:rsidRPr="007C0CB7" w:rsidRDefault="000D3F3C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18.2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18.2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244BA" w:rsidRPr="007C0CB7" w:rsidRDefault="00573830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573830" w:rsidRPr="007C0CB7" w:rsidRDefault="000D3F3C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18.2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  <w:r w:rsidR="00573830" w:rsidRPr="007C0CB7">
              <w:rPr>
                <w:sz w:val="22"/>
                <w:szCs w:val="22"/>
              </w:rPr>
              <w:t xml:space="preserve"> – доля населения Новосибирской области, осведомленного о реализации программы повышения финансовой грамотности в </w:t>
            </w:r>
            <w:proofErr w:type="spellStart"/>
            <w:r w:rsidR="00573830" w:rsidRPr="007C0CB7">
              <w:rPr>
                <w:i/>
                <w:sz w:val="22"/>
                <w:szCs w:val="22"/>
                <w:lang w:val="en-US"/>
              </w:rPr>
              <w:t>i</w:t>
            </w:r>
            <w:proofErr w:type="spellEnd"/>
            <w:r w:rsidR="00573830" w:rsidRPr="007C0CB7">
              <w:rPr>
                <w:sz w:val="22"/>
                <w:szCs w:val="22"/>
              </w:rPr>
              <w:t>-м году, %;</w:t>
            </w:r>
          </w:p>
          <w:p w:rsidR="00573830" w:rsidRDefault="000D3F3C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18.2</m:t>
                  </m:r>
                </m:sub>
              </m:sSub>
            </m:oMath>
            <w:r w:rsidR="00573830" w:rsidRPr="007C0CB7">
              <w:rPr>
                <w:sz w:val="22"/>
                <w:szCs w:val="22"/>
              </w:rPr>
              <w:t xml:space="preserve"> – доля населения Новосибирской области, осведомленного о реализации программы повышения финансовой грамотности в 2019 году, %;</w:t>
            </w:r>
          </w:p>
          <w:p w:rsidR="006244BA" w:rsidRPr="007C0CB7" w:rsidRDefault="006244BA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573830" w:rsidRPr="007C0CB7" w:rsidRDefault="00573830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6244BA" w:rsidRDefault="000D3F3C" w:rsidP="001A79FF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18.2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18.2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о(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18.2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573830" w:rsidRDefault="00573830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lastRenderedPageBreak/>
              <w:t>где:</w:t>
            </w:r>
          </w:p>
          <w:p w:rsidR="006244BA" w:rsidRPr="007C0CB7" w:rsidRDefault="006244BA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573830" w:rsidRPr="007C0CB7" w:rsidRDefault="000D3F3C" w:rsidP="00573830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18.2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о(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sub>
              </m:sSub>
            </m:oMath>
            <w:r w:rsidR="00573830" w:rsidRPr="007C0CB7">
              <w:rPr>
                <w:sz w:val="22"/>
                <w:szCs w:val="22"/>
              </w:rPr>
              <w:t xml:space="preserve"> – число представителей целевых групп населения, осведомленных о реализации программы повышения финансовой грамотности населения Новосибирской области, единиц;</w:t>
            </w:r>
          </w:p>
          <w:p w:rsidR="004A3BF5" w:rsidRDefault="000D3F3C" w:rsidP="006244BA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18.2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sub>
              </m:sSub>
            </m:oMath>
            <w:r w:rsidR="00573830" w:rsidRPr="007C0CB7">
              <w:rPr>
                <w:sz w:val="22"/>
                <w:szCs w:val="22"/>
              </w:rPr>
              <w:t xml:space="preserve"> – общая численность опрошенных, относящихся к целевым группам, единиц.</w:t>
            </w:r>
          </w:p>
          <w:p w:rsidR="004A3BF5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18.3</m:t>
                  </m:r>
                </m:sub>
              </m:sSub>
            </m:oMath>
            <w:r w:rsidRPr="007C0CB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</w:t>
            </w:r>
            <w:r w:rsidRPr="007C0CB7">
              <w:rPr>
                <w:sz w:val="22"/>
                <w:szCs w:val="22"/>
              </w:rPr>
              <w:t>ост доли населения Новосибирской области, сравнивающего условия предоставления финансовых услуг в различных компан</w:t>
            </w:r>
            <w:r>
              <w:rPr>
                <w:sz w:val="22"/>
                <w:szCs w:val="22"/>
              </w:rPr>
              <w:t>иях при выборе финансовых услуг</w:t>
            </w:r>
            <w:r w:rsidRPr="007C0CB7">
              <w:rPr>
                <w:sz w:val="22"/>
                <w:szCs w:val="22"/>
              </w:rPr>
              <w:t>, %;</w:t>
            </w:r>
          </w:p>
          <w:p w:rsidR="006244BA" w:rsidRDefault="006244BA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Pr="007C0CB7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где:</w:t>
            </w:r>
          </w:p>
          <w:p w:rsidR="004A3BF5" w:rsidRPr="007C0CB7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Pr="007C0CB7" w:rsidRDefault="000D3F3C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18.3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18.3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6244BA" w:rsidRPr="007C0CB7" w:rsidRDefault="006244BA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Pr="007C0CB7" w:rsidRDefault="000D3F3C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18.3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  <w:r w:rsidR="004A3BF5" w:rsidRPr="007C0CB7">
              <w:rPr>
                <w:sz w:val="22"/>
                <w:szCs w:val="22"/>
              </w:rPr>
              <w:t xml:space="preserve"> – доля населения Новосибирской области, сравнивающего условия предоставления финансовых услуг в различных компаниях при выборе финансовых услуг в </w:t>
            </w:r>
            <w:proofErr w:type="spellStart"/>
            <w:r w:rsidR="004A3BF5" w:rsidRPr="007C0CB7">
              <w:rPr>
                <w:i/>
                <w:sz w:val="22"/>
                <w:szCs w:val="22"/>
                <w:lang w:val="en-US"/>
              </w:rPr>
              <w:t>i</w:t>
            </w:r>
            <w:proofErr w:type="spellEnd"/>
            <w:r w:rsidR="004A3BF5" w:rsidRPr="007C0CB7">
              <w:rPr>
                <w:sz w:val="22"/>
                <w:szCs w:val="22"/>
              </w:rPr>
              <w:t>-м году, %;</w:t>
            </w:r>
          </w:p>
          <w:p w:rsidR="004A3BF5" w:rsidRDefault="000D3F3C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18.3</m:t>
                  </m:r>
                </m:sub>
              </m:sSub>
            </m:oMath>
            <w:r w:rsidR="004A3BF5" w:rsidRPr="007C0CB7">
              <w:rPr>
                <w:sz w:val="22"/>
                <w:szCs w:val="22"/>
              </w:rPr>
              <w:t xml:space="preserve"> – доля населения Новосибирской области, сравнивающего условия предоставления финансовых услуг в различных компаниях при выборе финансовых услуг в 2019 году, %;</w:t>
            </w:r>
          </w:p>
          <w:p w:rsidR="006244BA" w:rsidRPr="007C0CB7" w:rsidRDefault="006244BA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Pr="007C0CB7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6244BA" w:rsidRPr="001A79FF" w:rsidRDefault="000D3F3C" w:rsidP="001A79FF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18.3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18.3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с(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18.3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1A79FF" w:rsidRDefault="001A79FF" w:rsidP="001A79FF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lastRenderedPageBreak/>
              <w:t>где:</w:t>
            </w:r>
          </w:p>
          <w:p w:rsidR="006244BA" w:rsidRPr="007C0CB7" w:rsidRDefault="006244BA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Pr="007C0CB7" w:rsidRDefault="000D3F3C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18.3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с(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sub>
              </m:sSub>
            </m:oMath>
            <w:r w:rsidR="004A3BF5" w:rsidRPr="007C0CB7">
              <w:rPr>
                <w:sz w:val="22"/>
                <w:szCs w:val="22"/>
              </w:rPr>
              <w:t xml:space="preserve"> – число представителей целевых групп населения, сравнивающих условия предоставления финансовых услуг в различных компаниях при выборе финансовых услуг, единиц;</w:t>
            </w:r>
          </w:p>
          <w:p w:rsidR="004A3BF5" w:rsidRDefault="000D3F3C" w:rsidP="004225BE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18.3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sub>
              </m:sSub>
            </m:oMath>
            <w:r w:rsidR="004A3BF5" w:rsidRPr="007C0CB7">
              <w:rPr>
                <w:sz w:val="22"/>
                <w:szCs w:val="22"/>
              </w:rPr>
              <w:t xml:space="preserve"> – общая численность опрошенных, относящихся к целевым группам, единиц.</w:t>
            </w:r>
          </w:p>
          <w:p w:rsidR="004A3BF5" w:rsidRPr="007C0CB7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18.4</m:t>
                  </m:r>
                </m:sub>
              </m:sSub>
            </m:oMath>
            <w:r w:rsidRPr="007C0CB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</w:t>
            </w:r>
            <w:r w:rsidRPr="007C0CB7">
              <w:rPr>
                <w:sz w:val="22"/>
                <w:szCs w:val="22"/>
              </w:rPr>
              <w:t>ост доли действительных и потенциальных потребителей финансовых услуг, знающих о том, какие действия административного и юридического характера нужно предпринимать в случае нарушения их прав потребителя со</w:t>
            </w:r>
            <w:r>
              <w:rPr>
                <w:sz w:val="22"/>
                <w:szCs w:val="22"/>
              </w:rPr>
              <w:t xml:space="preserve"> стороны финансовых организаций</w:t>
            </w:r>
            <w:r w:rsidRPr="007C0CB7">
              <w:rPr>
                <w:sz w:val="22"/>
                <w:szCs w:val="22"/>
              </w:rPr>
              <w:t>, %;</w:t>
            </w:r>
          </w:p>
          <w:p w:rsidR="004A3BF5" w:rsidRPr="007C0CB7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Pr="007C0CB7" w:rsidRDefault="000D3F3C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18.4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18.4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Pr="007C0CB7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6244BA" w:rsidRDefault="006244BA" w:rsidP="006244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A3BF5" w:rsidRPr="007C0CB7" w:rsidRDefault="000D3F3C" w:rsidP="006244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18.4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  <w:r w:rsidR="004A3BF5" w:rsidRPr="007C0CB7">
              <w:rPr>
                <w:sz w:val="22"/>
                <w:szCs w:val="22"/>
              </w:rPr>
              <w:t xml:space="preserve"> – доля действительных и потенциальных потребителей финансовых услуг, знающих о том, какие действия административного и юридического характера нужно предпринимать в случае нарушения их прав потребителя со стороны финансовых организаций в </w:t>
            </w:r>
            <w:proofErr w:type="spellStart"/>
            <w:r w:rsidR="004A3BF5" w:rsidRPr="007C0CB7">
              <w:rPr>
                <w:i/>
                <w:sz w:val="22"/>
                <w:szCs w:val="22"/>
                <w:lang w:val="en-US"/>
              </w:rPr>
              <w:t>i</w:t>
            </w:r>
            <w:proofErr w:type="spellEnd"/>
            <w:r w:rsidR="004A3BF5" w:rsidRPr="007C0CB7">
              <w:rPr>
                <w:sz w:val="22"/>
                <w:szCs w:val="22"/>
              </w:rPr>
              <w:t>-м году, %;</w:t>
            </w:r>
          </w:p>
          <w:p w:rsidR="004A3BF5" w:rsidRDefault="000D3F3C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18.4</m:t>
                  </m:r>
                </m:sub>
              </m:sSub>
            </m:oMath>
            <w:r w:rsidR="004A3BF5" w:rsidRPr="007C0CB7">
              <w:rPr>
                <w:sz w:val="22"/>
                <w:szCs w:val="22"/>
              </w:rPr>
              <w:t xml:space="preserve"> – доля действительных и потенциальных потребителей финансовых услуг, знающих о том, какие действия административного и юридического характера нужно предпринимать в случае нарушения их прав потребителя со стороны финансовых организаций в 2019 году, %;</w:t>
            </w:r>
          </w:p>
          <w:p w:rsidR="006244BA" w:rsidRPr="007C0CB7" w:rsidRDefault="006244BA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lastRenderedPageBreak/>
              <w:t>где:</w:t>
            </w:r>
          </w:p>
          <w:p w:rsidR="004225BE" w:rsidRPr="007C0CB7" w:rsidRDefault="004225BE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Pr="007C0CB7" w:rsidRDefault="000D3F3C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18.4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18.4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з(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18.4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Default="004A3BF5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6244BA" w:rsidRPr="007C0CB7" w:rsidRDefault="006244BA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4A3BF5" w:rsidRPr="007C0CB7" w:rsidRDefault="000D3F3C" w:rsidP="004A3BF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18.4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з(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sub>
              </m:sSub>
            </m:oMath>
            <w:r w:rsidR="004A3BF5" w:rsidRPr="007C0CB7">
              <w:rPr>
                <w:sz w:val="22"/>
                <w:szCs w:val="22"/>
              </w:rPr>
              <w:t xml:space="preserve"> – число действительных и потенциальных потребителей финансовых услуг, знающих о том, какие действия административного и юридического характера нужно предпринимать в случае нарушения их прав потребителя со стороны финансовых организаций, единиц;</w:t>
            </w:r>
          </w:p>
          <w:p w:rsidR="007C1805" w:rsidRDefault="000D3F3C" w:rsidP="004225BE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18.4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sub>
              </m:sSub>
            </m:oMath>
            <w:r w:rsidR="004A3BF5" w:rsidRPr="007C0CB7">
              <w:rPr>
                <w:sz w:val="22"/>
                <w:szCs w:val="22"/>
              </w:rPr>
              <w:t xml:space="preserve"> – общая численность опрошенных действительных и потенциальных потребителей финансовых услуг, единиц.</w:t>
            </w:r>
          </w:p>
          <w:p w:rsidR="007C1805" w:rsidRDefault="007C1805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18.5</m:t>
                  </m:r>
                </m:sub>
              </m:sSub>
            </m:oMath>
            <w:r w:rsidRPr="007C0CB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р</w:t>
            </w:r>
            <w:r w:rsidRPr="007C0CB7">
              <w:rPr>
                <w:sz w:val="22"/>
                <w:szCs w:val="22"/>
              </w:rPr>
              <w:t xml:space="preserve">ост посещаемости информационного портала, предназначенного для освещения деятельности по повышению финансовой грамотности </w:t>
            </w:r>
            <w:r>
              <w:rPr>
                <w:sz w:val="22"/>
                <w:szCs w:val="22"/>
              </w:rPr>
              <w:t>населения Новосибирской области</w:t>
            </w:r>
            <w:r w:rsidRPr="007C0CB7">
              <w:rPr>
                <w:sz w:val="22"/>
                <w:szCs w:val="22"/>
              </w:rPr>
              <w:t>, %;</w:t>
            </w:r>
          </w:p>
          <w:p w:rsidR="004225BE" w:rsidRPr="007C0CB7" w:rsidRDefault="004225BE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244BA" w:rsidRDefault="004225BE" w:rsidP="004225BE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где:</w:t>
            </w:r>
          </w:p>
          <w:p w:rsidR="004225BE" w:rsidRPr="007C0CB7" w:rsidRDefault="004225BE" w:rsidP="004225BE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C1805" w:rsidRPr="007C0CB7" w:rsidRDefault="000D3F3C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18.5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18.5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C1805" w:rsidRPr="007C0CB7" w:rsidRDefault="007C1805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7C1805" w:rsidRPr="007C0CB7" w:rsidRDefault="007C1805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C1805" w:rsidRPr="007C0CB7" w:rsidRDefault="000D3F3C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18.5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  <w:r w:rsidR="007C1805" w:rsidRPr="007C0CB7">
              <w:rPr>
                <w:sz w:val="22"/>
                <w:szCs w:val="22"/>
              </w:rPr>
              <w:t xml:space="preserve"> – количество посетителей информационного портала, предназначенного для освещения деятельности по повышению финансовой грамотности населения Новосибирской области по истечению </w:t>
            </w:r>
            <w:proofErr w:type="spellStart"/>
            <w:r w:rsidR="007C1805" w:rsidRPr="007C0CB7">
              <w:rPr>
                <w:i/>
                <w:sz w:val="22"/>
                <w:szCs w:val="22"/>
                <w:lang w:val="en-US"/>
              </w:rPr>
              <w:t>i</w:t>
            </w:r>
            <w:proofErr w:type="spellEnd"/>
            <w:r w:rsidR="007C1805" w:rsidRPr="007C0CB7">
              <w:rPr>
                <w:sz w:val="22"/>
                <w:szCs w:val="22"/>
              </w:rPr>
              <w:t>-го года, единиц;</w:t>
            </w:r>
          </w:p>
          <w:p w:rsidR="007C1805" w:rsidRDefault="000D3F3C" w:rsidP="004225BE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18.5</m:t>
                  </m:r>
                </m:sub>
              </m:sSub>
            </m:oMath>
            <w:r w:rsidR="007C1805" w:rsidRPr="007C0CB7">
              <w:rPr>
                <w:sz w:val="22"/>
                <w:szCs w:val="22"/>
              </w:rPr>
              <w:t xml:space="preserve"> – количество посетителей информационного портала, предназначенного для освещения деятельности по повышению финансовой грамотности населения Новосибирской области на 31.12.2019, единиц.</w:t>
            </w:r>
          </w:p>
          <w:p w:rsidR="007C1805" w:rsidRDefault="007C1805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18.6</m:t>
                  </m:r>
                </m:sub>
              </m:sSub>
            </m:oMath>
            <w:r w:rsidR="006D7D23">
              <w:rPr>
                <w:sz w:val="22"/>
                <w:szCs w:val="22"/>
              </w:rPr>
              <w:t xml:space="preserve"> – р</w:t>
            </w:r>
            <w:r w:rsidRPr="007C0CB7">
              <w:rPr>
                <w:sz w:val="22"/>
                <w:szCs w:val="22"/>
              </w:rPr>
              <w:t xml:space="preserve">ост количества проведенных просветительских мероприятий по обучению финансовой грамотности различных целевых групп </w:t>
            </w:r>
            <w:r w:rsidR="006D7D23">
              <w:rPr>
                <w:sz w:val="22"/>
                <w:szCs w:val="22"/>
              </w:rPr>
              <w:t>населения Новосибирской области</w:t>
            </w:r>
            <w:r w:rsidRPr="007C0CB7">
              <w:rPr>
                <w:sz w:val="22"/>
                <w:szCs w:val="22"/>
              </w:rPr>
              <w:t>, %;</w:t>
            </w:r>
          </w:p>
          <w:p w:rsidR="006244BA" w:rsidRPr="007C0CB7" w:rsidRDefault="006244BA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C1805" w:rsidRDefault="006D7D23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где:</w:t>
            </w:r>
          </w:p>
          <w:p w:rsidR="006244BA" w:rsidRPr="007C0CB7" w:rsidRDefault="006244BA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C1805" w:rsidRPr="007C0CB7" w:rsidRDefault="000D3F3C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18.6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18.6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18.6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18.6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C1805" w:rsidRDefault="007C1805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7C0CB7">
              <w:rPr>
                <w:sz w:val="22"/>
                <w:szCs w:val="22"/>
              </w:rPr>
              <w:t>где:</w:t>
            </w:r>
          </w:p>
          <w:p w:rsidR="006244BA" w:rsidRPr="007C0CB7" w:rsidRDefault="006244BA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7C1805" w:rsidRPr="007C0CB7" w:rsidRDefault="000D3F3C" w:rsidP="007C1805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18.6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</m:sub>
              </m:sSub>
            </m:oMath>
            <w:r w:rsidR="007C1805" w:rsidRPr="007C0CB7">
              <w:rPr>
                <w:sz w:val="22"/>
                <w:szCs w:val="22"/>
              </w:rPr>
              <w:t xml:space="preserve"> – количество проведенных просветительских мероприятий по обучению финансовой грамотности различных целевых групп населения Новосибирской области в </w:t>
            </w:r>
            <w:proofErr w:type="spellStart"/>
            <w:r w:rsidR="007C1805" w:rsidRPr="007C0CB7">
              <w:rPr>
                <w:i/>
                <w:sz w:val="22"/>
                <w:szCs w:val="22"/>
                <w:lang w:val="en-US"/>
              </w:rPr>
              <w:t>i</w:t>
            </w:r>
            <w:proofErr w:type="spellEnd"/>
            <w:r w:rsidR="007C1805" w:rsidRPr="007C0CB7">
              <w:rPr>
                <w:sz w:val="22"/>
                <w:szCs w:val="22"/>
              </w:rPr>
              <w:t>-м году, единиц;</w:t>
            </w:r>
          </w:p>
          <w:p w:rsidR="007C1805" w:rsidRDefault="000D3F3C" w:rsidP="004225BE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18.6</m:t>
                  </m:r>
                </m:sub>
              </m:sSub>
            </m:oMath>
            <w:r w:rsidR="007C1805" w:rsidRPr="007C0CB7">
              <w:rPr>
                <w:sz w:val="22"/>
                <w:szCs w:val="22"/>
              </w:rPr>
              <w:t xml:space="preserve"> – количество проведенных просветительских мероприятий по обучению финансовой грамотности различных целевых групп населения Новосибирской области в 2019 году, единиц.</w:t>
            </w:r>
          </w:p>
          <w:p w:rsidR="006B4271" w:rsidRPr="007C0CB7" w:rsidRDefault="004225BE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7C0CB7">
              <w:rPr>
                <w:sz w:val="22"/>
                <w:szCs w:val="22"/>
              </w:rPr>
              <w:t>На достижение целевого индикатора оказывает влияние выполнение мероприятия 2.1.3, а также реализация общепрограммных мероприятий</w:t>
            </w:r>
          </w:p>
        </w:tc>
        <w:tc>
          <w:tcPr>
            <w:tcW w:w="3543" w:type="dxa"/>
            <w:shd w:val="clear" w:color="auto" w:fill="auto"/>
          </w:tcPr>
          <w:p w:rsidR="006B4271" w:rsidRDefault="006B4271" w:rsidP="00433DDD">
            <w:pPr>
              <w:jc w:val="both"/>
              <w:rPr>
                <w:sz w:val="22"/>
                <w:szCs w:val="22"/>
              </w:rPr>
            </w:pPr>
            <w:r w:rsidRPr="009C555A">
              <w:rPr>
                <w:sz w:val="22"/>
                <w:szCs w:val="22"/>
              </w:rPr>
              <w:lastRenderedPageBreak/>
              <w:t>Экспертная оценка, ведомственные данные</w:t>
            </w:r>
            <w:r>
              <w:rPr>
                <w:sz w:val="22"/>
                <w:szCs w:val="22"/>
              </w:rPr>
              <w:t>.</w:t>
            </w:r>
          </w:p>
          <w:p w:rsidR="006B4271" w:rsidRDefault="00DB738A" w:rsidP="00433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анкетирования</w:t>
            </w:r>
            <w:r w:rsidRPr="007C0CB7">
              <w:rPr>
                <w:sz w:val="22"/>
                <w:szCs w:val="22"/>
              </w:rPr>
              <w:t xml:space="preserve"> после проведения мероприятий по повышению финансовой грамотности населения Новосибирской области</w:t>
            </w:r>
          </w:p>
          <w:p w:rsidR="00DB738A" w:rsidRDefault="00DB738A" w:rsidP="00433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опроса </w:t>
            </w:r>
            <w:r w:rsidRPr="007C0CB7">
              <w:rPr>
                <w:sz w:val="22"/>
                <w:szCs w:val="22"/>
              </w:rPr>
              <w:t>представителей целевых групп населения</w:t>
            </w:r>
          </w:p>
          <w:p w:rsidR="00DB738A" w:rsidRDefault="00DB738A" w:rsidP="00433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опроса </w:t>
            </w:r>
            <w:r w:rsidRPr="007C0CB7">
              <w:rPr>
                <w:sz w:val="22"/>
                <w:szCs w:val="22"/>
              </w:rPr>
              <w:t>действительных и потенциальных потребителей финансовых услуг</w:t>
            </w:r>
          </w:p>
          <w:p w:rsidR="00DB738A" w:rsidRDefault="00DB738A" w:rsidP="00433DDD">
            <w:pPr>
              <w:jc w:val="both"/>
              <w:rPr>
                <w:sz w:val="22"/>
                <w:szCs w:val="22"/>
              </w:rPr>
            </w:pPr>
            <w:r w:rsidRPr="008A7409">
              <w:rPr>
                <w:sz w:val="22"/>
                <w:szCs w:val="22"/>
              </w:rPr>
              <w:t>Информационный портал, предназначенный для освещения деятельности по повышению финансовой грамотности населения Новосибирской области</w:t>
            </w:r>
          </w:p>
          <w:p w:rsidR="00573830" w:rsidRPr="002A4F2B" w:rsidRDefault="00573830" w:rsidP="00433DDD">
            <w:pPr>
              <w:jc w:val="both"/>
              <w:rPr>
                <w:sz w:val="22"/>
                <w:szCs w:val="22"/>
              </w:rPr>
            </w:pPr>
          </w:p>
        </w:tc>
      </w:tr>
      <w:tr w:rsidR="006B4271" w:rsidRPr="002A4F2B" w:rsidTr="00433DDD">
        <w:trPr>
          <w:trHeight w:val="333"/>
        </w:trPr>
        <w:tc>
          <w:tcPr>
            <w:tcW w:w="1134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694" w:type="dxa"/>
          </w:tcPr>
          <w:p w:rsidR="006B4271" w:rsidRPr="008C27EE" w:rsidRDefault="00345A6C" w:rsidP="00433DDD">
            <w:pPr>
              <w:pStyle w:val="ConsPlusCell"/>
              <w:rPr>
                <w:rFonts w:ascii="Times New Roman" w:hAnsi="Times New Roman" w:cs="Times New Roman"/>
              </w:rPr>
            </w:pPr>
            <w:r w:rsidRPr="00345A6C">
              <w:rPr>
                <w:rFonts w:ascii="Times New Roman" w:hAnsi="Times New Roman" w:cs="Times New Roman"/>
              </w:rPr>
              <w:t xml:space="preserve">Доля муниципальных образований Новосибирской области, представивших заявки на участие в конкурсном отборе инициативных проектов» </w:t>
            </w:r>
            <w:r w:rsidRPr="00345A6C">
              <w:rPr>
                <w:rFonts w:ascii="Times New Roman" w:hAnsi="Times New Roman" w:cs="Times New Roman"/>
              </w:rPr>
              <w:lastRenderedPageBreak/>
              <w:t>(не менее установленного значения целевого индикатора)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lastRenderedPageBreak/>
              <w:t>годовая</w:t>
            </w:r>
          </w:p>
        </w:tc>
        <w:tc>
          <w:tcPr>
            <w:tcW w:w="1559" w:type="dxa"/>
          </w:tcPr>
          <w:p w:rsidR="006B4271" w:rsidRPr="002A4F2B" w:rsidRDefault="006B4271" w:rsidP="00433DDD">
            <w:pPr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ежегодно</w:t>
            </w:r>
          </w:p>
        </w:tc>
        <w:tc>
          <w:tcPr>
            <w:tcW w:w="5387" w:type="dxa"/>
          </w:tcPr>
          <w:p w:rsidR="006B4271" w:rsidRPr="002A4F2B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 xml:space="preserve">1. Плановое значение целевого индикатора </w:t>
            </w:r>
            <w:r>
              <w:rPr>
                <w:sz w:val="22"/>
                <w:szCs w:val="22"/>
              </w:rPr>
              <w:t xml:space="preserve">определяется как целевой ориентир по развитию </w:t>
            </w:r>
            <w:r w:rsidR="003E4823">
              <w:rPr>
                <w:sz w:val="22"/>
                <w:szCs w:val="22"/>
              </w:rPr>
              <w:t>инициативного бюджетирования в Новосибирской области</w:t>
            </w:r>
            <w:r>
              <w:rPr>
                <w:sz w:val="22"/>
                <w:szCs w:val="22"/>
              </w:rPr>
              <w:t>.</w:t>
            </w:r>
          </w:p>
          <w:p w:rsidR="006B4271" w:rsidRDefault="006B4271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2. Фактическое значение целевого индикатора рассчитывает</w:t>
            </w:r>
            <w:r>
              <w:rPr>
                <w:sz w:val="22"/>
                <w:szCs w:val="22"/>
              </w:rPr>
              <w:t>ся по формуле:</w:t>
            </w:r>
          </w:p>
          <w:p w:rsidR="006244BA" w:rsidRPr="002A4F2B" w:rsidRDefault="006244BA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19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19и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19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*100%</m:t>
                </m:r>
              </m:oMath>
            </m:oMathPara>
          </w:p>
          <w:p w:rsidR="006244BA" w:rsidRDefault="006244BA" w:rsidP="003A1D76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Default="006B4271" w:rsidP="003A1D76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2A4F2B">
              <w:rPr>
                <w:sz w:val="22"/>
                <w:szCs w:val="22"/>
              </w:rPr>
              <w:t>где:</w:t>
            </w:r>
          </w:p>
          <w:p w:rsidR="006244BA" w:rsidRPr="002A4F2B" w:rsidRDefault="006244BA" w:rsidP="003A1D76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И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19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</w:t>
            </w:r>
            <w:r w:rsidR="00345A6C" w:rsidRPr="00345A6C">
              <w:rPr>
                <w:sz w:val="22"/>
                <w:szCs w:val="22"/>
              </w:rPr>
              <w:t>Доля муниципальных образований Новосибирской области, представивших заявки на участие в конкурсном отборе инициативных проектов» (не менее установленного значения целевого индикатора)</w:t>
            </w:r>
            <w:r w:rsidR="006B4271" w:rsidRPr="002A4F2B">
              <w:rPr>
                <w:sz w:val="22"/>
                <w:szCs w:val="22"/>
              </w:rPr>
              <w:t>, %;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19и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количество муниципальных образований</w:t>
            </w:r>
            <w:r w:rsidR="006B4271">
              <w:rPr>
                <w:sz w:val="22"/>
                <w:szCs w:val="22"/>
              </w:rPr>
              <w:t xml:space="preserve"> (городских и сельских поселений)</w:t>
            </w:r>
            <w:r w:rsidR="006B4271" w:rsidRPr="002A4F2B">
              <w:rPr>
                <w:sz w:val="22"/>
                <w:szCs w:val="22"/>
              </w:rPr>
              <w:t xml:space="preserve"> </w:t>
            </w:r>
            <w:r w:rsidR="0084440A" w:rsidRPr="0084440A">
              <w:rPr>
                <w:sz w:val="22"/>
                <w:szCs w:val="22"/>
              </w:rPr>
              <w:t>Новосибирской области, представивших заявки на участие в конкурсном отборе инициативных проектов</w:t>
            </w:r>
            <w:r w:rsidR="003E4823">
              <w:rPr>
                <w:sz w:val="22"/>
                <w:szCs w:val="22"/>
              </w:rPr>
              <w:t xml:space="preserve"> (</w:t>
            </w:r>
            <w:r w:rsidR="003E4823" w:rsidRPr="003E4823">
              <w:rPr>
                <w:sz w:val="22"/>
                <w:szCs w:val="22"/>
              </w:rPr>
              <w:t>по итогам конкурсных процедур за год, предшествующий отчетному с финансированием в отчетном периоде)</w:t>
            </w:r>
            <w:r w:rsidR="006B4271" w:rsidRPr="002A4F2B">
              <w:rPr>
                <w:sz w:val="22"/>
                <w:szCs w:val="22"/>
              </w:rPr>
              <w:t>, ед.;</w:t>
            </w:r>
          </w:p>
          <w:p w:rsidR="006B4271" w:rsidRPr="002A4F2B" w:rsidRDefault="000D3F3C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19</m:t>
                  </m:r>
                </m:sub>
              </m:sSub>
            </m:oMath>
            <w:r w:rsidR="006B4271" w:rsidRPr="002A4F2B">
              <w:rPr>
                <w:sz w:val="22"/>
                <w:szCs w:val="22"/>
              </w:rPr>
              <w:t xml:space="preserve"> – количество муниципальных образований</w:t>
            </w:r>
            <w:r w:rsidR="006B4271">
              <w:rPr>
                <w:sz w:val="22"/>
                <w:szCs w:val="22"/>
              </w:rPr>
              <w:t xml:space="preserve"> (городских и сельских поселений)</w:t>
            </w:r>
            <w:r w:rsidR="006B4271" w:rsidRPr="002A4F2B">
              <w:rPr>
                <w:sz w:val="22"/>
                <w:szCs w:val="22"/>
              </w:rPr>
              <w:t xml:space="preserve"> в Новосибирской области, ед.</w:t>
            </w:r>
          </w:p>
          <w:p w:rsidR="006B4271" w:rsidRPr="002A4F2B" w:rsidRDefault="004225BE" w:rsidP="00433DDD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6B4271" w:rsidRPr="002A4F2B">
              <w:rPr>
                <w:sz w:val="22"/>
                <w:szCs w:val="22"/>
              </w:rPr>
              <w:t>На достижение целевого индикатора оказывает влияние выполнение мероприяти</w:t>
            </w:r>
            <w:r w:rsidR="006B4271">
              <w:rPr>
                <w:sz w:val="22"/>
                <w:szCs w:val="22"/>
              </w:rPr>
              <w:t>й</w:t>
            </w:r>
            <w:r w:rsidR="006B4271" w:rsidRPr="002A4F2B">
              <w:rPr>
                <w:sz w:val="22"/>
                <w:szCs w:val="22"/>
              </w:rPr>
              <w:t xml:space="preserve"> 2.2.1, </w:t>
            </w:r>
            <w:r w:rsidR="006B4271">
              <w:rPr>
                <w:sz w:val="22"/>
                <w:szCs w:val="22"/>
              </w:rPr>
              <w:t xml:space="preserve">2.2.2, </w:t>
            </w:r>
            <w:r w:rsidR="006B4271" w:rsidRPr="002A4F2B">
              <w:rPr>
                <w:sz w:val="22"/>
                <w:szCs w:val="22"/>
              </w:rPr>
              <w:t>а также реализация общепрограммных мероприятий</w:t>
            </w:r>
          </w:p>
        </w:tc>
        <w:tc>
          <w:tcPr>
            <w:tcW w:w="3543" w:type="dxa"/>
            <w:shd w:val="clear" w:color="auto" w:fill="auto"/>
          </w:tcPr>
          <w:p w:rsidR="003E4823" w:rsidRDefault="003E4823" w:rsidP="00B918C5">
            <w:pPr>
              <w:jc w:val="both"/>
              <w:rPr>
                <w:sz w:val="22"/>
                <w:szCs w:val="22"/>
              </w:rPr>
            </w:pPr>
            <w:r w:rsidRPr="003E4823">
              <w:rPr>
                <w:sz w:val="22"/>
                <w:szCs w:val="22"/>
              </w:rPr>
              <w:lastRenderedPageBreak/>
              <w:t>Реестры заявок на участие в конкурсном отборе инициативных проектов, поступивших в установленном порядке.</w:t>
            </w:r>
          </w:p>
          <w:p w:rsidR="006B4271" w:rsidRPr="002A4F2B" w:rsidRDefault="006B4271" w:rsidP="00B918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Протоколы заседания комиссии по проведению конкурсного отбора </w:t>
            </w:r>
            <w:r w:rsidR="00345A6C">
              <w:rPr>
                <w:sz w:val="22"/>
                <w:szCs w:val="22"/>
              </w:rPr>
              <w:t xml:space="preserve">инициативных </w:t>
            </w:r>
            <w:r>
              <w:rPr>
                <w:sz w:val="22"/>
                <w:szCs w:val="22"/>
              </w:rPr>
              <w:t>проектов</w:t>
            </w:r>
          </w:p>
        </w:tc>
      </w:tr>
    </w:tbl>
    <w:p w:rsidR="009A48EF" w:rsidRDefault="009A48EF" w:rsidP="00477940"/>
    <w:p w:rsidR="0063548C" w:rsidRDefault="0063548C" w:rsidP="00477940"/>
    <w:p w:rsidR="009A48EF" w:rsidRPr="009A48EF" w:rsidRDefault="009A48EF" w:rsidP="009A48EF">
      <w:pPr>
        <w:tabs>
          <w:tab w:val="left" w:pos="2067"/>
        </w:tabs>
        <w:spacing w:after="160" w:line="259" w:lineRule="auto"/>
        <w:jc w:val="center"/>
        <w:rPr>
          <w:rFonts w:eastAsia="Calibri"/>
          <w:szCs w:val="28"/>
          <w:lang w:eastAsia="en-US"/>
        </w:rPr>
      </w:pPr>
      <w:r w:rsidRPr="009A48EF">
        <w:rPr>
          <w:rFonts w:eastAsia="Calibri"/>
          <w:sz w:val="28"/>
          <w:szCs w:val="28"/>
          <w:lang w:eastAsia="en-US"/>
        </w:rPr>
        <w:t>______________</w:t>
      </w:r>
    </w:p>
    <w:sectPr w:rsidR="009A48EF" w:rsidRPr="009A48EF" w:rsidSect="00477940">
      <w:headerReference w:type="default" r:id="rId8"/>
      <w:footerReference w:type="default" r:id="rId9"/>
      <w:footerReference w:type="first" r:id="rId10"/>
      <w:pgSz w:w="16839" w:h="11907" w:orient="landscape" w:code="9"/>
      <w:pgMar w:top="1418" w:right="567" w:bottom="993" w:left="567" w:header="709" w:footer="15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BA" w:rsidRDefault="006244BA" w:rsidP="00364D10">
      <w:r>
        <w:separator/>
      </w:r>
    </w:p>
  </w:endnote>
  <w:endnote w:type="continuationSeparator" w:id="0">
    <w:p w:rsidR="006244BA" w:rsidRDefault="006244BA" w:rsidP="0036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6327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244BA" w:rsidRPr="009E56DF" w:rsidRDefault="006244BA">
        <w:pPr>
          <w:pStyle w:val="a7"/>
          <w:jc w:val="center"/>
          <w:rPr>
            <w:sz w:val="20"/>
            <w:szCs w:val="20"/>
          </w:rPr>
        </w:pPr>
        <w:r w:rsidRPr="009E56DF">
          <w:rPr>
            <w:sz w:val="20"/>
            <w:szCs w:val="20"/>
          </w:rPr>
          <w:fldChar w:fldCharType="begin"/>
        </w:r>
        <w:r w:rsidRPr="009E56DF">
          <w:rPr>
            <w:sz w:val="20"/>
            <w:szCs w:val="20"/>
          </w:rPr>
          <w:instrText>PAGE   \* MERGEFORMAT</w:instrText>
        </w:r>
        <w:r w:rsidRPr="009E56DF">
          <w:rPr>
            <w:sz w:val="20"/>
            <w:szCs w:val="20"/>
          </w:rPr>
          <w:fldChar w:fldCharType="separate"/>
        </w:r>
        <w:r w:rsidR="000D3F3C">
          <w:rPr>
            <w:noProof/>
            <w:sz w:val="20"/>
            <w:szCs w:val="20"/>
          </w:rPr>
          <w:t>19</w:t>
        </w:r>
        <w:r w:rsidRPr="009E56DF">
          <w:rPr>
            <w:sz w:val="20"/>
            <w:szCs w:val="20"/>
          </w:rPr>
          <w:fldChar w:fldCharType="end"/>
        </w:r>
      </w:p>
    </w:sdtContent>
  </w:sdt>
  <w:p w:rsidR="006244BA" w:rsidRDefault="006244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293599"/>
      <w:docPartObj>
        <w:docPartGallery w:val="Page Numbers (Bottom of Page)"/>
        <w:docPartUnique/>
      </w:docPartObj>
    </w:sdtPr>
    <w:sdtEndPr/>
    <w:sdtContent>
      <w:p w:rsidR="006244BA" w:rsidRDefault="006244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244BA" w:rsidRDefault="006244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BA" w:rsidRDefault="006244BA" w:rsidP="00364D10">
      <w:r>
        <w:separator/>
      </w:r>
    </w:p>
  </w:footnote>
  <w:footnote w:type="continuationSeparator" w:id="0">
    <w:p w:rsidR="006244BA" w:rsidRDefault="006244BA" w:rsidP="0036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BA" w:rsidRPr="005976BD" w:rsidRDefault="006244BA">
    <w:pPr>
      <w:pStyle w:val="a5"/>
      <w:jc w:val="center"/>
      <w:rPr>
        <w:sz w:val="20"/>
        <w:szCs w:val="20"/>
      </w:rPr>
    </w:pPr>
  </w:p>
  <w:p w:rsidR="006244BA" w:rsidRDefault="006244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533"/>
    <w:multiLevelType w:val="hybridMultilevel"/>
    <w:tmpl w:val="ADFC35A0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4573A4"/>
    <w:multiLevelType w:val="hybridMultilevel"/>
    <w:tmpl w:val="98F2FA12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92B69C4"/>
    <w:multiLevelType w:val="hybridMultilevel"/>
    <w:tmpl w:val="5C76B36E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C3D1EFC"/>
    <w:multiLevelType w:val="hybridMultilevel"/>
    <w:tmpl w:val="749AD13E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CAE1C28"/>
    <w:multiLevelType w:val="hybridMultilevel"/>
    <w:tmpl w:val="1B18C564"/>
    <w:lvl w:ilvl="0" w:tplc="F7A04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CB65EA9"/>
    <w:multiLevelType w:val="hybridMultilevel"/>
    <w:tmpl w:val="BF98AE12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F3D47B9"/>
    <w:multiLevelType w:val="hybridMultilevel"/>
    <w:tmpl w:val="D3445BE4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11B7D21"/>
    <w:multiLevelType w:val="hybridMultilevel"/>
    <w:tmpl w:val="ADFC35A0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1CF708A"/>
    <w:multiLevelType w:val="hybridMultilevel"/>
    <w:tmpl w:val="32AE8F02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96276AA"/>
    <w:multiLevelType w:val="hybridMultilevel"/>
    <w:tmpl w:val="E466A92C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9FB5586"/>
    <w:multiLevelType w:val="hybridMultilevel"/>
    <w:tmpl w:val="17FA431A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1CD423BC"/>
    <w:multiLevelType w:val="hybridMultilevel"/>
    <w:tmpl w:val="ADFC35A0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FAB231E"/>
    <w:multiLevelType w:val="hybridMultilevel"/>
    <w:tmpl w:val="3CD4E296"/>
    <w:lvl w:ilvl="0" w:tplc="FAD2E53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3" w15:restartNumberingAfterBreak="0">
    <w:nsid w:val="201F0A33"/>
    <w:multiLevelType w:val="hybridMultilevel"/>
    <w:tmpl w:val="960C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012ED4"/>
    <w:multiLevelType w:val="hybridMultilevel"/>
    <w:tmpl w:val="61300554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D5A1758"/>
    <w:multiLevelType w:val="hybridMultilevel"/>
    <w:tmpl w:val="BD8E8B2E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1710A88"/>
    <w:multiLevelType w:val="hybridMultilevel"/>
    <w:tmpl w:val="F6721788"/>
    <w:lvl w:ilvl="0" w:tplc="31E811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145530"/>
    <w:multiLevelType w:val="hybridMultilevel"/>
    <w:tmpl w:val="0CCE7A34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75334FB"/>
    <w:multiLevelType w:val="hybridMultilevel"/>
    <w:tmpl w:val="4B927F86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DDF6407"/>
    <w:multiLevelType w:val="hybridMultilevel"/>
    <w:tmpl w:val="A9BAE64C"/>
    <w:lvl w:ilvl="0" w:tplc="68D2C1C2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0" w15:restartNumberingAfterBreak="0">
    <w:nsid w:val="3EE47DA7"/>
    <w:multiLevelType w:val="hybridMultilevel"/>
    <w:tmpl w:val="5C76B36E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4038583E"/>
    <w:multiLevelType w:val="hybridMultilevel"/>
    <w:tmpl w:val="BBD213B4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408A3181"/>
    <w:multiLevelType w:val="hybridMultilevel"/>
    <w:tmpl w:val="5EECEDC6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1B57958"/>
    <w:multiLevelType w:val="hybridMultilevel"/>
    <w:tmpl w:val="BF98AE12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5A63139"/>
    <w:multiLevelType w:val="hybridMultilevel"/>
    <w:tmpl w:val="7CAEBA82"/>
    <w:lvl w:ilvl="0" w:tplc="672210E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80B0DB2"/>
    <w:multiLevelType w:val="hybridMultilevel"/>
    <w:tmpl w:val="3CD4E296"/>
    <w:lvl w:ilvl="0" w:tplc="FAD2E53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6" w15:restartNumberingAfterBreak="0">
    <w:nsid w:val="48ED00D6"/>
    <w:multiLevelType w:val="hybridMultilevel"/>
    <w:tmpl w:val="C57499D4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4B7213E1"/>
    <w:multiLevelType w:val="hybridMultilevel"/>
    <w:tmpl w:val="F990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916DE4"/>
    <w:multiLevelType w:val="hybridMultilevel"/>
    <w:tmpl w:val="BF98AE12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4F1A609D"/>
    <w:multiLevelType w:val="hybridMultilevel"/>
    <w:tmpl w:val="0870320C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4F635D9D"/>
    <w:multiLevelType w:val="hybridMultilevel"/>
    <w:tmpl w:val="A796A54C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1770210"/>
    <w:multiLevelType w:val="hybridMultilevel"/>
    <w:tmpl w:val="3D48654A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533B33FA"/>
    <w:multiLevelType w:val="hybridMultilevel"/>
    <w:tmpl w:val="BF98AE12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54766AED"/>
    <w:multiLevelType w:val="hybridMultilevel"/>
    <w:tmpl w:val="17FA431A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54FE4B30"/>
    <w:multiLevelType w:val="hybridMultilevel"/>
    <w:tmpl w:val="D81C3694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55BC6241"/>
    <w:multiLevelType w:val="hybridMultilevel"/>
    <w:tmpl w:val="1A48A338"/>
    <w:lvl w:ilvl="0" w:tplc="D1ECC9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58197A34"/>
    <w:multiLevelType w:val="hybridMultilevel"/>
    <w:tmpl w:val="BF98AE12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5DB35DB4"/>
    <w:multiLevelType w:val="hybridMultilevel"/>
    <w:tmpl w:val="ADFC35A0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 w15:restartNumberingAfterBreak="0">
    <w:nsid w:val="601E2DDA"/>
    <w:multiLevelType w:val="hybridMultilevel"/>
    <w:tmpl w:val="28745FA0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66330F26"/>
    <w:multiLevelType w:val="hybridMultilevel"/>
    <w:tmpl w:val="BF98AE12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6E1C7E0B"/>
    <w:multiLevelType w:val="hybridMultilevel"/>
    <w:tmpl w:val="0F1A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3F4BF8"/>
    <w:multiLevelType w:val="hybridMultilevel"/>
    <w:tmpl w:val="61EAD3A4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1FF272D"/>
    <w:multiLevelType w:val="hybridMultilevel"/>
    <w:tmpl w:val="BF98AE12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 w15:restartNumberingAfterBreak="0">
    <w:nsid w:val="75B60A7F"/>
    <w:multiLevelType w:val="hybridMultilevel"/>
    <w:tmpl w:val="BD8E8B2E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6CD6716"/>
    <w:multiLevelType w:val="hybridMultilevel"/>
    <w:tmpl w:val="61300554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 w15:restartNumberingAfterBreak="0">
    <w:nsid w:val="7AEB518A"/>
    <w:multiLevelType w:val="hybridMultilevel"/>
    <w:tmpl w:val="28745FA0"/>
    <w:lvl w:ilvl="0" w:tplc="5D8C29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13"/>
  </w:num>
  <w:num w:numId="4">
    <w:abstractNumId w:val="40"/>
  </w:num>
  <w:num w:numId="5">
    <w:abstractNumId w:val="20"/>
  </w:num>
  <w:num w:numId="6">
    <w:abstractNumId w:val="2"/>
  </w:num>
  <w:num w:numId="7">
    <w:abstractNumId w:val="22"/>
  </w:num>
  <w:num w:numId="8">
    <w:abstractNumId w:val="8"/>
  </w:num>
  <w:num w:numId="9">
    <w:abstractNumId w:val="0"/>
  </w:num>
  <w:num w:numId="10">
    <w:abstractNumId w:val="17"/>
  </w:num>
  <w:num w:numId="11">
    <w:abstractNumId w:val="7"/>
  </w:num>
  <w:num w:numId="12">
    <w:abstractNumId w:val="26"/>
  </w:num>
  <w:num w:numId="13">
    <w:abstractNumId w:val="11"/>
  </w:num>
  <w:num w:numId="14">
    <w:abstractNumId w:val="19"/>
  </w:num>
  <w:num w:numId="15">
    <w:abstractNumId w:val="41"/>
  </w:num>
  <w:num w:numId="16">
    <w:abstractNumId w:val="9"/>
  </w:num>
  <w:num w:numId="17">
    <w:abstractNumId w:val="42"/>
  </w:num>
  <w:num w:numId="18">
    <w:abstractNumId w:val="28"/>
  </w:num>
  <w:num w:numId="19">
    <w:abstractNumId w:val="3"/>
  </w:num>
  <w:num w:numId="20">
    <w:abstractNumId w:val="5"/>
  </w:num>
  <w:num w:numId="21">
    <w:abstractNumId w:val="23"/>
  </w:num>
  <w:num w:numId="22">
    <w:abstractNumId w:val="43"/>
  </w:num>
  <w:num w:numId="23">
    <w:abstractNumId w:val="15"/>
  </w:num>
  <w:num w:numId="24">
    <w:abstractNumId w:val="32"/>
  </w:num>
  <w:num w:numId="25">
    <w:abstractNumId w:val="31"/>
  </w:num>
  <w:num w:numId="26">
    <w:abstractNumId w:val="10"/>
  </w:num>
  <w:num w:numId="27">
    <w:abstractNumId w:val="18"/>
  </w:num>
  <w:num w:numId="28">
    <w:abstractNumId w:val="29"/>
  </w:num>
  <w:num w:numId="29">
    <w:abstractNumId w:val="34"/>
  </w:num>
  <w:num w:numId="30">
    <w:abstractNumId w:val="37"/>
  </w:num>
  <w:num w:numId="31">
    <w:abstractNumId w:val="14"/>
  </w:num>
  <w:num w:numId="32">
    <w:abstractNumId w:val="38"/>
  </w:num>
  <w:num w:numId="33">
    <w:abstractNumId w:val="21"/>
  </w:num>
  <w:num w:numId="34">
    <w:abstractNumId w:val="6"/>
  </w:num>
  <w:num w:numId="35">
    <w:abstractNumId w:val="39"/>
  </w:num>
  <w:num w:numId="36">
    <w:abstractNumId w:val="36"/>
  </w:num>
  <w:num w:numId="37">
    <w:abstractNumId w:val="1"/>
  </w:num>
  <w:num w:numId="38">
    <w:abstractNumId w:val="30"/>
  </w:num>
  <w:num w:numId="39">
    <w:abstractNumId w:val="33"/>
  </w:num>
  <w:num w:numId="40">
    <w:abstractNumId w:val="44"/>
  </w:num>
  <w:num w:numId="41">
    <w:abstractNumId w:val="45"/>
  </w:num>
  <w:num w:numId="42">
    <w:abstractNumId w:val="24"/>
  </w:num>
  <w:num w:numId="43">
    <w:abstractNumId w:val="4"/>
  </w:num>
  <w:num w:numId="44">
    <w:abstractNumId w:val="12"/>
  </w:num>
  <w:num w:numId="45">
    <w:abstractNumId w:val="25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EF"/>
    <w:rsid w:val="00000521"/>
    <w:rsid w:val="00000A7B"/>
    <w:rsid w:val="00000D61"/>
    <w:rsid w:val="00000F4E"/>
    <w:rsid w:val="00001F3B"/>
    <w:rsid w:val="00002025"/>
    <w:rsid w:val="00003394"/>
    <w:rsid w:val="00003CE2"/>
    <w:rsid w:val="00003E0E"/>
    <w:rsid w:val="00004449"/>
    <w:rsid w:val="00004EDA"/>
    <w:rsid w:val="000056E5"/>
    <w:rsid w:val="0000680A"/>
    <w:rsid w:val="00006D15"/>
    <w:rsid w:val="00011413"/>
    <w:rsid w:val="000128B8"/>
    <w:rsid w:val="00012922"/>
    <w:rsid w:val="00012BC4"/>
    <w:rsid w:val="00014286"/>
    <w:rsid w:val="00016D61"/>
    <w:rsid w:val="00017137"/>
    <w:rsid w:val="00017776"/>
    <w:rsid w:val="00017876"/>
    <w:rsid w:val="00017A52"/>
    <w:rsid w:val="00017EFF"/>
    <w:rsid w:val="00020C97"/>
    <w:rsid w:val="00022298"/>
    <w:rsid w:val="0002244C"/>
    <w:rsid w:val="000226A9"/>
    <w:rsid w:val="00022CEA"/>
    <w:rsid w:val="00023280"/>
    <w:rsid w:val="000238C9"/>
    <w:rsid w:val="000240AF"/>
    <w:rsid w:val="00025D63"/>
    <w:rsid w:val="00026405"/>
    <w:rsid w:val="00027156"/>
    <w:rsid w:val="00030F01"/>
    <w:rsid w:val="000320CA"/>
    <w:rsid w:val="000343D5"/>
    <w:rsid w:val="0003679E"/>
    <w:rsid w:val="00037715"/>
    <w:rsid w:val="00037AED"/>
    <w:rsid w:val="000404F9"/>
    <w:rsid w:val="00040A42"/>
    <w:rsid w:val="00040E44"/>
    <w:rsid w:val="0004130D"/>
    <w:rsid w:val="000414D4"/>
    <w:rsid w:val="0004285A"/>
    <w:rsid w:val="00042982"/>
    <w:rsid w:val="00043D69"/>
    <w:rsid w:val="00044032"/>
    <w:rsid w:val="000441E4"/>
    <w:rsid w:val="0004522B"/>
    <w:rsid w:val="00047168"/>
    <w:rsid w:val="00047DAC"/>
    <w:rsid w:val="0005107E"/>
    <w:rsid w:val="00051D1F"/>
    <w:rsid w:val="00052CD3"/>
    <w:rsid w:val="000535D7"/>
    <w:rsid w:val="000547E8"/>
    <w:rsid w:val="00060040"/>
    <w:rsid w:val="00061DAB"/>
    <w:rsid w:val="00062504"/>
    <w:rsid w:val="00064EBA"/>
    <w:rsid w:val="00066673"/>
    <w:rsid w:val="000666E8"/>
    <w:rsid w:val="00072FE8"/>
    <w:rsid w:val="00075C0A"/>
    <w:rsid w:val="0008026C"/>
    <w:rsid w:val="000822BF"/>
    <w:rsid w:val="000833D2"/>
    <w:rsid w:val="00083BB0"/>
    <w:rsid w:val="0008433F"/>
    <w:rsid w:val="0008594B"/>
    <w:rsid w:val="00085B5D"/>
    <w:rsid w:val="00086638"/>
    <w:rsid w:val="000868D4"/>
    <w:rsid w:val="00086E0B"/>
    <w:rsid w:val="00086F5D"/>
    <w:rsid w:val="00087364"/>
    <w:rsid w:val="00090394"/>
    <w:rsid w:val="0009075E"/>
    <w:rsid w:val="00090E61"/>
    <w:rsid w:val="00090F00"/>
    <w:rsid w:val="000918D5"/>
    <w:rsid w:val="0009225C"/>
    <w:rsid w:val="000922EA"/>
    <w:rsid w:val="000945CF"/>
    <w:rsid w:val="00094D3A"/>
    <w:rsid w:val="0009678D"/>
    <w:rsid w:val="00097C09"/>
    <w:rsid w:val="000A0D51"/>
    <w:rsid w:val="000A2D88"/>
    <w:rsid w:val="000A4270"/>
    <w:rsid w:val="000A4B11"/>
    <w:rsid w:val="000A54E4"/>
    <w:rsid w:val="000A668A"/>
    <w:rsid w:val="000A7E81"/>
    <w:rsid w:val="000B0B0A"/>
    <w:rsid w:val="000B112F"/>
    <w:rsid w:val="000B15E0"/>
    <w:rsid w:val="000B15F4"/>
    <w:rsid w:val="000B2021"/>
    <w:rsid w:val="000B2F0B"/>
    <w:rsid w:val="000B3C49"/>
    <w:rsid w:val="000B4293"/>
    <w:rsid w:val="000B44EE"/>
    <w:rsid w:val="000B4D4D"/>
    <w:rsid w:val="000B4DDD"/>
    <w:rsid w:val="000B52A3"/>
    <w:rsid w:val="000C062A"/>
    <w:rsid w:val="000C2404"/>
    <w:rsid w:val="000C2FBC"/>
    <w:rsid w:val="000C49A7"/>
    <w:rsid w:val="000C5BB3"/>
    <w:rsid w:val="000C6D04"/>
    <w:rsid w:val="000C7A5B"/>
    <w:rsid w:val="000D0DA6"/>
    <w:rsid w:val="000D214B"/>
    <w:rsid w:val="000D21D1"/>
    <w:rsid w:val="000D2305"/>
    <w:rsid w:val="000D3587"/>
    <w:rsid w:val="000D3D5C"/>
    <w:rsid w:val="000D3F3C"/>
    <w:rsid w:val="000D59C3"/>
    <w:rsid w:val="000D65B7"/>
    <w:rsid w:val="000D6B2D"/>
    <w:rsid w:val="000D6BBE"/>
    <w:rsid w:val="000D6ED2"/>
    <w:rsid w:val="000E0D3D"/>
    <w:rsid w:val="000E0DFA"/>
    <w:rsid w:val="000E13CB"/>
    <w:rsid w:val="000E1C31"/>
    <w:rsid w:val="000E2160"/>
    <w:rsid w:val="000E309E"/>
    <w:rsid w:val="000E5C95"/>
    <w:rsid w:val="000E7209"/>
    <w:rsid w:val="000F0839"/>
    <w:rsid w:val="000F1EE7"/>
    <w:rsid w:val="000F1FD2"/>
    <w:rsid w:val="000F311F"/>
    <w:rsid w:val="000F37EE"/>
    <w:rsid w:val="000F4344"/>
    <w:rsid w:val="000F45C2"/>
    <w:rsid w:val="000F5D9A"/>
    <w:rsid w:val="000F64EC"/>
    <w:rsid w:val="00102A89"/>
    <w:rsid w:val="0010316E"/>
    <w:rsid w:val="00104A09"/>
    <w:rsid w:val="00105428"/>
    <w:rsid w:val="00106A6F"/>
    <w:rsid w:val="00106F24"/>
    <w:rsid w:val="001070FA"/>
    <w:rsid w:val="00107954"/>
    <w:rsid w:val="00107C68"/>
    <w:rsid w:val="00107DB7"/>
    <w:rsid w:val="00111639"/>
    <w:rsid w:val="0011187D"/>
    <w:rsid w:val="00112200"/>
    <w:rsid w:val="00112B22"/>
    <w:rsid w:val="0011351F"/>
    <w:rsid w:val="0011578D"/>
    <w:rsid w:val="0011698B"/>
    <w:rsid w:val="00116CA0"/>
    <w:rsid w:val="001171BB"/>
    <w:rsid w:val="001172C2"/>
    <w:rsid w:val="001174CA"/>
    <w:rsid w:val="00120BC3"/>
    <w:rsid w:val="00120EE1"/>
    <w:rsid w:val="00121B34"/>
    <w:rsid w:val="00122880"/>
    <w:rsid w:val="001246C5"/>
    <w:rsid w:val="00124FDC"/>
    <w:rsid w:val="00126323"/>
    <w:rsid w:val="001267EE"/>
    <w:rsid w:val="001308E2"/>
    <w:rsid w:val="001310B0"/>
    <w:rsid w:val="00131A95"/>
    <w:rsid w:val="00132289"/>
    <w:rsid w:val="00132D53"/>
    <w:rsid w:val="00132F70"/>
    <w:rsid w:val="00133084"/>
    <w:rsid w:val="00133126"/>
    <w:rsid w:val="0013411D"/>
    <w:rsid w:val="00134186"/>
    <w:rsid w:val="0013418A"/>
    <w:rsid w:val="00134638"/>
    <w:rsid w:val="001352FF"/>
    <w:rsid w:val="00135F5C"/>
    <w:rsid w:val="001375CA"/>
    <w:rsid w:val="001378A7"/>
    <w:rsid w:val="00140B50"/>
    <w:rsid w:val="001455C7"/>
    <w:rsid w:val="00146D49"/>
    <w:rsid w:val="00146E8E"/>
    <w:rsid w:val="0014708C"/>
    <w:rsid w:val="0014772F"/>
    <w:rsid w:val="00147781"/>
    <w:rsid w:val="00150273"/>
    <w:rsid w:val="00151202"/>
    <w:rsid w:val="00151781"/>
    <w:rsid w:val="001542CA"/>
    <w:rsid w:val="0015557A"/>
    <w:rsid w:val="00160330"/>
    <w:rsid w:val="00160DB5"/>
    <w:rsid w:val="001611E9"/>
    <w:rsid w:val="0016190A"/>
    <w:rsid w:val="00161B52"/>
    <w:rsid w:val="00163959"/>
    <w:rsid w:val="0016451A"/>
    <w:rsid w:val="001645EF"/>
    <w:rsid w:val="001656E3"/>
    <w:rsid w:val="00165D7F"/>
    <w:rsid w:val="0016601C"/>
    <w:rsid w:val="00166350"/>
    <w:rsid w:val="00167004"/>
    <w:rsid w:val="001671ED"/>
    <w:rsid w:val="0016771D"/>
    <w:rsid w:val="00167BDB"/>
    <w:rsid w:val="00170911"/>
    <w:rsid w:val="00171149"/>
    <w:rsid w:val="001721BF"/>
    <w:rsid w:val="00172732"/>
    <w:rsid w:val="001731B6"/>
    <w:rsid w:val="001767F7"/>
    <w:rsid w:val="00177306"/>
    <w:rsid w:val="001774D5"/>
    <w:rsid w:val="00177EBB"/>
    <w:rsid w:val="001811E6"/>
    <w:rsid w:val="00181A0C"/>
    <w:rsid w:val="00182738"/>
    <w:rsid w:val="001836B8"/>
    <w:rsid w:val="00184AC1"/>
    <w:rsid w:val="00185186"/>
    <w:rsid w:val="00185E61"/>
    <w:rsid w:val="00186744"/>
    <w:rsid w:val="00191D25"/>
    <w:rsid w:val="001924E0"/>
    <w:rsid w:val="00192844"/>
    <w:rsid w:val="00192B4D"/>
    <w:rsid w:val="00193D37"/>
    <w:rsid w:val="00193EEB"/>
    <w:rsid w:val="00194ACB"/>
    <w:rsid w:val="00194D2C"/>
    <w:rsid w:val="00196721"/>
    <w:rsid w:val="001A05B3"/>
    <w:rsid w:val="001A0C96"/>
    <w:rsid w:val="001A1FE1"/>
    <w:rsid w:val="001A21CC"/>
    <w:rsid w:val="001A52F6"/>
    <w:rsid w:val="001A608A"/>
    <w:rsid w:val="001A6706"/>
    <w:rsid w:val="001A76EF"/>
    <w:rsid w:val="001A79FF"/>
    <w:rsid w:val="001B167A"/>
    <w:rsid w:val="001B1ECB"/>
    <w:rsid w:val="001B2FED"/>
    <w:rsid w:val="001B442D"/>
    <w:rsid w:val="001B5106"/>
    <w:rsid w:val="001B5562"/>
    <w:rsid w:val="001B5FE6"/>
    <w:rsid w:val="001B7537"/>
    <w:rsid w:val="001C1669"/>
    <w:rsid w:val="001C252A"/>
    <w:rsid w:val="001C2548"/>
    <w:rsid w:val="001C2BC9"/>
    <w:rsid w:val="001C2D1B"/>
    <w:rsid w:val="001C3346"/>
    <w:rsid w:val="001C35E1"/>
    <w:rsid w:val="001C3CAC"/>
    <w:rsid w:val="001C3D81"/>
    <w:rsid w:val="001C6CDE"/>
    <w:rsid w:val="001C72E7"/>
    <w:rsid w:val="001D0618"/>
    <w:rsid w:val="001D0D99"/>
    <w:rsid w:val="001D11B7"/>
    <w:rsid w:val="001D1751"/>
    <w:rsid w:val="001D1C26"/>
    <w:rsid w:val="001D3B90"/>
    <w:rsid w:val="001D3DD0"/>
    <w:rsid w:val="001D4208"/>
    <w:rsid w:val="001D4A45"/>
    <w:rsid w:val="001D5A65"/>
    <w:rsid w:val="001D5E42"/>
    <w:rsid w:val="001D66FF"/>
    <w:rsid w:val="001D6D5A"/>
    <w:rsid w:val="001E17C1"/>
    <w:rsid w:val="001E17ED"/>
    <w:rsid w:val="001E1F4B"/>
    <w:rsid w:val="001E2021"/>
    <w:rsid w:val="001E53C1"/>
    <w:rsid w:val="001E5C88"/>
    <w:rsid w:val="001E6767"/>
    <w:rsid w:val="001E6F60"/>
    <w:rsid w:val="001F1230"/>
    <w:rsid w:val="001F13E8"/>
    <w:rsid w:val="001F1E12"/>
    <w:rsid w:val="001F42CF"/>
    <w:rsid w:val="001F4624"/>
    <w:rsid w:val="001F475A"/>
    <w:rsid w:val="001F58F0"/>
    <w:rsid w:val="001F5D1E"/>
    <w:rsid w:val="001F5F11"/>
    <w:rsid w:val="00200887"/>
    <w:rsid w:val="00200991"/>
    <w:rsid w:val="002017D8"/>
    <w:rsid w:val="00201F21"/>
    <w:rsid w:val="00202FBB"/>
    <w:rsid w:val="00204625"/>
    <w:rsid w:val="002059BD"/>
    <w:rsid w:val="00206522"/>
    <w:rsid w:val="00206927"/>
    <w:rsid w:val="002103F9"/>
    <w:rsid w:val="00211161"/>
    <w:rsid w:val="00211DE8"/>
    <w:rsid w:val="00211EC0"/>
    <w:rsid w:val="00212156"/>
    <w:rsid w:val="00212914"/>
    <w:rsid w:val="00213A4F"/>
    <w:rsid w:val="00213AC6"/>
    <w:rsid w:val="002144E5"/>
    <w:rsid w:val="00214B2C"/>
    <w:rsid w:val="002154D5"/>
    <w:rsid w:val="002158B5"/>
    <w:rsid w:val="002176A1"/>
    <w:rsid w:val="00217B8B"/>
    <w:rsid w:val="0022126F"/>
    <w:rsid w:val="00222B0D"/>
    <w:rsid w:val="00224D2D"/>
    <w:rsid w:val="00225157"/>
    <w:rsid w:val="00225472"/>
    <w:rsid w:val="00225788"/>
    <w:rsid w:val="002257C7"/>
    <w:rsid w:val="00225D60"/>
    <w:rsid w:val="00225DC6"/>
    <w:rsid w:val="00225DD2"/>
    <w:rsid w:val="00225FAD"/>
    <w:rsid w:val="00226DE6"/>
    <w:rsid w:val="00230372"/>
    <w:rsid w:val="0023143E"/>
    <w:rsid w:val="002317FC"/>
    <w:rsid w:val="002330B2"/>
    <w:rsid w:val="00234152"/>
    <w:rsid w:val="00234290"/>
    <w:rsid w:val="00234443"/>
    <w:rsid w:val="00234990"/>
    <w:rsid w:val="00235E26"/>
    <w:rsid w:val="00237367"/>
    <w:rsid w:val="00240641"/>
    <w:rsid w:val="00241481"/>
    <w:rsid w:val="00242036"/>
    <w:rsid w:val="002424DA"/>
    <w:rsid w:val="00242D6C"/>
    <w:rsid w:val="00242D80"/>
    <w:rsid w:val="00242F00"/>
    <w:rsid w:val="00245853"/>
    <w:rsid w:val="0024665A"/>
    <w:rsid w:val="00246773"/>
    <w:rsid w:val="00247611"/>
    <w:rsid w:val="00247C04"/>
    <w:rsid w:val="002501C5"/>
    <w:rsid w:val="00250BC7"/>
    <w:rsid w:val="002511DD"/>
    <w:rsid w:val="0025123F"/>
    <w:rsid w:val="00251D98"/>
    <w:rsid w:val="002527BA"/>
    <w:rsid w:val="00256371"/>
    <w:rsid w:val="0025637D"/>
    <w:rsid w:val="00256689"/>
    <w:rsid w:val="00257D57"/>
    <w:rsid w:val="00257D5E"/>
    <w:rsid w:val="00261821"/>
    <w:rsid w:val="002638CE"/>
    <w:rsid w:val="002652D0"/>
    <w:rsid w:val="002657CB"/>
    <w:rsid w:val="002665E6"/>
    <w:rsid w:val="00267998"/>
    <w:rsid w:val="00267A21"/>
    <w:rsid w:val="00270758"/>
    <w:rsid w:val="002708ED"/>
    <w:rsid w:val="00270BD5"/>
    <w:rsid w:val="00270D11"/>
    <w:rsid w:val="00271366"/>
    <w:rsid w:val="00271533"/>
    <w:rsid w:val="002715C9"/>
    <w:rsid w:val="00271670"/>
    <w:rsid w:val="00271FF5"/>
    <w:rsid w:val="00272199"/>
    <w:rsid w:val="00273001"/>
    <w:rsid w:val="0027652E"/>
    <w:rsid w:val="00276591"/>
    <w:rsid w:val="00276826"/>
    <w:rsid w:val="00277185"/>
    <w:rsid w:val="00277EB0"/>
    <w:rsid w:val="00282A68"/>
    <w:rsid w:val="00282CA3"/>
    <w:rsid w:val="002832E3"/>
    <w:rsid w:val="0028452B"/>
    <w:rsid w:val="0028468E"/>
    <w:rsid w:val="00284906"/>
    <w:rsid w:val="00285A50"/>
    <w:rsid w:val="00286528"/>
    <w:rsid w:val="002867A8"/>
    <w:rsid w:val="002869BF"/>
    <w:rsid w:val="002872BA"/>
    <w:rsid w:val="002906BE"/>
    <w:rsid w:val="00294C09"/>
    <w:rsid w:val="00294CCC"/>
    <w:rsid w:val="0029522D"/>
    <w:rsid w:val="002974F9"/>
    <w:rsid w:val="00297755"/>
    <w:rsid w:val="00297BFD"/>
    <w:rsid w:val="002A048F"/>
    <w:rsid w:val="002A0F20"/>
    <w:rsid w:val="002A0FC6"/>
    <w:rsid w:val="002A1623"/>
    <w:rsid w:val="002A2AD0"/>
    <w:rsid w:val="002A3164"/>
    <w:rsid w:val="002A434A"/>
    <w:rsid w:val="002A4F2B"/>
    <w:rsid w:val="002A5363"/>
    <w:rsid w:val="002A5574"/>
    <w:rsid w:val="002A5E3C"/>
    <w:rsid w:val="002A6934"/>
    <w:rsid w:val="002A77CE"/>
    <w:rsid w:val="002B0E31"/>
    <w:rsid w:val="002B1010"/>
    <w:rsid w:val="002B197B"/>
    <w:rsid w:val="002B1AB9"/>
    <w:rsid w:val="002B45F5"/>
    <w:rsid w:val="002C263B"/>
    <w:rsid w:val="002C2F07"/>
    <w:rsid w:val="002C3348"/>
    <w:rsid w:val="002C52E1"/>
    <w:rsid w:val="002C6822"/>
    <w:rsid w:val="002C6FCF"/>
    <w:rsid w:val="002D19A7"/>
    <w:rsid w:val="002D35AC"/>
    <w:rsid w:val="002D3688"/>
    <w:rsid w:val="002D4B5D"/>
    <w:rsid w:val="002D61BB"/>
    <w:rsid w:val="002D75C3"/>
    <w:rsid w:val="002E13F2"/>
    <w:rsid w:val="002E1926"/>
    <w:rsid w:val="002E26FB"/>
    <w:rsid w:val="002E27C4"/>
    <w:rsid w:val="002E36CB"/>
    <w:rsid w:val="002E588C"/>
    <w:rsid w:val="002E592E"/>
    <w:rsid w:val="002E5D54"/>
    <w:rsid w:val="002E73CB"/>
    <w:rsid w:val="002E77BC"/>
    <w:rsid w:val="002E7C36"/>
    <w:rsid w:val="002E7D2F"/>
    <w:rsid w:val="002F02BD"/>
    <w:rsid w:val="002F09D5"/>
    <w:rsid w:val="002F1527"/>
    <w:rsid w:val="002F2120"/>
    <w:rsid w:val="002F312A"/>
    <w:rsid w:val="002F3C6E"/>
    <w:rsid w:val="002F4760"/>
    <w:rsid w:val="002F47AC"/>
    <w:rsid w:val="002F4D9B"/>
    <w:rsid w:val="0030032C"/>
    <w:rsid w:val="003009FB"/>
    <w:rsid w:val="00300B7C"/>
    <w:rsid w:val="00302186"/>
    <w:rsid w:val="00302543"/>
    <w:rsid w:val="00302912"/>
    <w:rsid w:val="00302D45"/>
    <w:rsid w:val="0030470C"/>
    <w:rsid w:val="0030486C"/>
    <w:rsid w:val="00304D83"/>
    <w:rsid w:val="00304DD2"/>
    <w:rsid w:val="0030616E"/>
    <w:rsid w:val="0030629B"/>
    <w:rsid w:val="0030690D"/>
    <w:rsid w:val="003069B1"/>
    <w:rsid w:val="00306A52"/>
    <w:rsid w:val="00310326"/>
    <w:rsid w:val="0031141D"/>
    <w:rsid w:val="00311F22"/>
    <w:rsid w:val="00312394"/>
    <w:rsid w:val="00312B3D"/>
    <w:rsid w:val="0031306F"/>
    <w:rsid w:val="00314261"/>
    <w:rsid w:val="00314F0A"/>
    <w:rsid w:val="00314F32"/>
    <w:rsid w:val="003152F3"/>
    <w:rsid w:val="00315B64"/>
    <w:rsid w:val="00315F04"/>
    <w:rsid w:val="00316D45"/>
    <w:rsid w:val="003172B6"/>
    <w:rsid w:val="00317C54"/>
    <w:rsid w:val="00320746"/>
    <w:rsid w:val="00320E47"/>
    <w:rsid w:val="00321239"/>
    <w:rsid w:val="00322616"/>
    <w:rsid w:val="00322836"/>
    <w:rsid w:val="00326352"/>
    <w:rsid w:val="00326D22"/>
    <w:rsid w:val="00326FFA"/>
    <w:rsid w:val="00331EC1"/>
    <w:rsid w:val="00334E27"/>
    <w:rsid w:val="003351CA"/>
    <w:rsid w:val="00335A02"/>
    <w:rsid w:val="00336F1F"/>
    <w:rsid w:val="00336F65"/>
    <w:rsid w:val="00337182"/>
    <w:rsid w:val="00337249"/>
    <w:rsid w:val="003405D9"/>
    <w:rsid w:val="00342F8E"/>
    <w:rsid w:val="003443A2"/>
    <w:rsid w:val="00345484"/>
    <w:rsid w:val="00345A6C"/>
    <w:rsid w:val="003467A1"/>
    <w:rsid w:val="003471A8"/>
    <w:rsid w:val="00347BD1"/>
    <w:rsid w:val="00352066"/>
    <w:rsid w:val="003521C3"/>
    <w:rsid w:val="00352350"/>
    <w:rsid w:val="00352834"/>
    <w:rsid w:val="003530B9"/>
    <w:rsid w:val="00353973"/>
    <w:rsid w:val="0035410A"/>
    <w:rsid w:val="00356AC7"/>
    <w:rsid w:val="00356E48"/>
    <w:rsid w:val="00356F9B"/>
    <w:rsid w:val="0036024F"/>
    <w:rsid w:val="00360345"/>
    <w:rsid w:val="00360B80"/>
    <w:rsid w:val="003611CA"/>
    <w:rsid w:val="003611D0"/>
    <w:rsid w:val="003612C1"/>
    <w:rsid w:val="00361940"/>
    <w:rsid w:val="00364646"/>
    <w:rsid w:val="00364D10"/>
    <w:rsid w:val="003650AF"/>
    <w:rsid w:val="003655DE"/>
    <w:rsid w:val="00366367"/>
    <w:rsid w:val="00366887"/>
    <w:rsid w:val="00366E82"/>
    <w:rsid w:val="00367121"/>
    <w:rsid w:val="00367604"/>
    <w:rsid w:val="003677DA"/>
    <w:rsid w:val="0037092B"/>
    <w:rsid w:val="00371D35"/>
    <w:rsid w:val="003721F6"/>
    <w:rsid w:val="0037281C"/>
    <w:rsid w:val="0037353D"/>
    <w:rsid w:val="00373959"/>
    <w:rsid w:val="00373F1D"/>
    <w:rsid w:val="0037436A"/>
    <w:rsid w:val="0037497B"/>
    <w:rsid w:val="0037511B"/>
    <w:rsid w:val="003759F7"/>
    <w:rsid w:val="00375A53"/>
    <w:rsid w:val="00375B59"/>
    <w:rsid w:val="003767F6"/>
    <w:rsid w:val="00376BCE"/>
    <w:rsid w:val="003811D5"/>
    <w:rsid w:val="00381582"/>
    <w:rsid w:val="00381651"/>
    <w:rsid w:val="0038189D"/>
    <w:rsid w:val="00381CF7"/>
    <w:rsid w:val="003826D1"/>
    <w:rsid w:val="003842EA"/>
    <w:rsid w:val="00386170"/>
    <w:rsid w:val="003869EC"/>
    <w:rsid w:val="003869F3"/>
    <w:rsid w:val="00386B41"/>
    <w:rsid w:val="003913CC"/>
    <w:rsid w:val="00392137"/>
    <w:rsid w:val="003926E6"/>
    <w:rsid w:val="003926FF"/>
    <w:rsid w:val="00393C2A"/>
    <w:rsid w:val="003949A8"/>
    <w:rsid w:val="00395836"/>
    <w:rsid w:val="00395C26"/>
    <w:rsid w:val="00395D0E"/>
    <w:rsid w:val="0039769F"/>
    <w:rsid w:val="00397E0F"/>
    <w:rsid w:val="003A1D76"/>
    <w:rsid w:val="003A2437"/>
    <w:rsid w:val="003A26D1"/>
    <w:rsid w:val="003B0237"/>
    <w:rsid w:val="003B0F1D"/>
    <w:rsid w:val="003B0F62"/>
    <w:rsid w:val="003B1545"/>
    <w:rsid w:val="003B1E05"/>
    <w:rsid w:val="003B73C1"/>
    <w:rsid w:val="003B7F31"/>
    <w:rsid w:val="003B7FF0"/>
    <w:rsid w:val="003C04B3"/>
    <w:rsid w:val="003C0C95"/>
    <w:rsid w:val="003C13C5"/>
    <w:rsid w:val="003C2577"/>
    <w:rsid w:val="003C35E1"/>
    <w:rsid w:val="003C3F3A"/>
    <w:rsid w:val="003C44F9"/>
    <w:rsid w:val="003C47B4"/>
    <w:rsid w:val="003C4D20"/>
    <w:rsid w:val="003C5911"/>
    <w:rsid w:val="003C6E4F"/>
    <w:rsid w:val="003C7A67"/>
    <w:rsid w:val="003D3269"/>
    <w:rsid w:val="003D3999"/>
    <w:rsid w:val="003D41C0"/>
    <w:rsid w:val="003D4AA9"/>
    <w:rsid w:val="003D5B55"/>
    <w:rsid w:val="003D639F"/>
    <w:rsid w:val="003D77BC"/>
    <w:rsid w:val="003D7910"/>
    <w:rsid w:val="003D7E33"/>
    <w:rsid w:val="003E003E"/>
    <w:rsid w:val="003E00FB"/>
    <w:rsid w:val="003E0943"/>
    <w:rsid w:val="003E115D"/>
    <w:rsid w:val="003E21E6"/>
    <w:rsid w:val="003E3093"/>
    <w:rsid w:val="003E309A"/>
    <w:rsid w:val="003E3453"/>
    <w:rsid w:val="003E4823"/>
    <w:rsid w:val="003E61AC"/>
    <w:rsid w:val="003E7994"/>
    <w:rsid w:val="003E7D7C"/>
    <w:rsid w:val="003F0AD9"/>
    <w:rsid w:val="003F10BD"/>
    <w:rsid w:val="003F124A"/>
    <w:rsid w:val="003F3047"/>
    <w:rsid w:val="003F3610"/>
    <w:rsid w:val="003F3971"/>
    <w:rsid w:val="003F4384"/>
    <w:rsid w:val="003F4C1F"/>
    <w:rsid w:val="003F4C4B"/>
    <w:rsid w:val="003F51B7"/>
    <w:rsid w:val="003F57BC"/>
    <w:rsid w:val="003F61AB"/>
    <w:rsid w:val="003F6279"/>
    <w:rsid w:val="003F75B0"/>
    <w:rsid w:val="00400981"/>
    <w:rsid w:val="00401880"/>
    <w:rsid w:val="004018C3"/>
    <w:rsid w:val="0040313F"/>
    <w:rsid w:val="00403340"/>
    <w:rsid w:val="004036CB"/>
    <w:rsid w:val="0040379E"/>
    <w:rsid w:val="00404785"/>
    <w:rsid w:val="00405714"/>
    <w:rsid w:val="00406881"/>
    <w:rsid w:val="00406CF5"/>
    <w:rsid w:val="0041023B"/>
    <w:rsid w:val="00411DE4"/>
    <w:rsid w:val="004124C1"/>
    <w:rsid w:val="00412C24"/>
    <w:rsid w:val="004131A6"/>
    <w:rsid w:val="004151F2"/>
    <w:rsid w:val="0041536B"/>
    <w:rsid w:val="004155BD"/>
    <w:rsid w:val="0041577B"/>
    <w:rsid w:val="004165BB"/>
    <w:rsid w:val="004166C2"/>
    <w:rsid w:val="00417E08"/>
    <w:rsid w:val="004225BE"/>
    <w:rsid w:val="00422757"/>
    <w:rsid w:val="0042309D"/>
    <w:rsid w:val="00426D76"/>
    <w:rsid w:val="00432206"/>
    <w:rsid w:val="0043306D"/>
    <w:rsid w:val="00433185"/>
    <w:rsid w:val="0043339E"/>
    <w:rsid w:val="00433DDD"/>
    <w:rsid w:val="00433F83"/>
    <w:rsid w:val="00434D2F"/>
    <w:rsid w:val="0043529B"/>
    <w:rsid w:val="00435596"/>
    <w:rsid w:val="00436787"/>
    <w:rsid w:val="00441F7E"/>
    <w:rsid w:val="00443A4E"/>
    <w:rsid w:val="00445134"/>
    <w:rsid w:val="00445BA4"/>
    <w:rsid w:val="004461B2"/>
    <w:rsid w:val="004470F1"/>
    <w:rsid w:val="00447737"/>
    <w:rsid w:val="00447D12"/>
    <w:rsid w:val="00447E99"/>
    <w:rsid w:val="0045016B"/>
    <w:rsid w:val="00452404"/>
    <w:rsid w:val="0045320C"/>
    <w:rsid w:val="004542EC"/>
    <w:rsid w:val="004547E2"/>
    <w:rsid w:val="00455B99"/>
    <w:rsid w:val="00455ED7"/>
    <w:rsid w:val="0045602F"/>
    <w:rsid w:val="004563E3"/>
    <w:rsid w:val="00456CB4"/>
    <w:rsid w:val="00457BFE"/>
    <w:rsid w:val="004633C0"/>
    <w:rsid w:val="00466674"/>
    <w:rsid w:val="00467DDF"/>
    <w:rsid w:val="0047033B"/>
    <w:rsid w:val="004718E8"/>
    <w:rsid w:val="00473B21"/>
    <w:rsid w:val="0047439A"/>
    <w:rsid w:val="004744E3"/>
    <w:rsid w:val="004750C4"/>
    <w:rsid w:val="00476400"/>
    <w:rsid w:val="004772D6"/>
    <w:rsid w:val="00477940"/>
    <w:rsid w:val="0048032C"/>
    <w:rsid w:val="004804C9"/>
    <w:rsid w:val="004808D9"/>
    <w:rsid w:val="004818AF"/>
    <w:rsid w:val="00481C29"/>
    <w:rsid w:val="00481D3A"/>
    <w:rsid w:val="004837A0"/>
    <w:rsid w:val="00483BBF"/>
    <w:rsid w:val="004840D7"/>
    <w:rsid w:val="00484E3C"/>
    <w:rsid w:val="00486855"/>
    <w:rsid w:val="00486D17"/>
    <w:rsid w:val="004872E1"/>
    <w:rsid w:val="00491AA2"/>
    <w:rsid w:val="00492A62"/>
    <w:rsid w:val="00493BBA"/>
    <w:rsid w:val="00494762"/>
    <w:rsid w:val="004954A7"/>
    <w:rsid w:val="00495F1C"/>
    <w:rsid w:val="004969D7"/>
    <w:rsid w:val="00496D4B"/>
    <w:rsid w:val="0049776C"/>
    <w:rsid w:val="00497C85"/>
    <w:rsid w:val="004A0832"/>
    <w:rsid w:val="004A0B16"/>
    <w:rsid w:val="004A0B9A"/>
    <w:rsid w:val="004A0D4E"/>
    <w:rsid w:val="004A123B"/>
    <w:rsid w:val="004A1C81"/>
    <w:rsid w:val="004A2CCA"/>
    <w:rsid w:val="004A2F2F"/>
    <w:rsid w:val="004A36EC"/>
    <w:rsid w:val="004A3BF5"/>
    <w:rsid w:val="004A4DB3"/>
    <w:rsid w:val="004A5944"/>
    <w:rsid w:val="004A65EE"/>
    <w:rsid w:val="004B3A51"/>
    <w:rsid w:val="004B4D41"/>
    <w:rsid w:val="004B6922"/>
    <w:rsid w:val="004B74CB"/>
    <w:rsid w:val="004B7943"/>
    <w:rsid w:val="004B7D3A"/>
    <w:rsid w:val="004B7E43"/>
    <w:rsid w:val="004C111F"/>
    <w:rsid w:val="004C2325"/>
    <w:rsid w:val="004C2E03"/>
    <w:rsid w:val="004C4469"/>
    <w:rsid w:val="004C50F3"/>
    <w:rsid w:val="004C53EF"/>
    <w:rsid w:val="004C5581"/>
    <w:rsid w:val="004C58DB"/>
    <w:rsid w:val="004C67D0"/>
    <w:rsid w:val="004C6B66"/>
    <w:rsid w:val="004C6D06"/>
    <w:rsid w:val="004D0275"/>
    <w:rsid w:val="004D0AB6"/>
    <w:rsid w:val="004D2273"/>
    <w:rsid w:val="004D2D39"/>
    <w:rsid w:val="004D2D3C"/>
    <w:rsid w:val="004D57F8"/>
    <w:rsid w:val="004D59B1"/>
    <w:rsid w:val="004D6A79"/>
    <w:rsid w:val="004D6FB5"/>
    <w:rsid w:val="004D7C4B"/>
    <w:rsid w:val="004E0001"/>
    <w:rsid w:val="004E00DD"/>
    <w:rsid w:val="004E21EC"/>
    <w:rsid w:val="004E354A"/>
    <w:rsid w:val="004E46FA"/>
    <w:rsid w:val="004E4F0C"/>
    <w:rsid w:val="004E58BE"/>
    <w:rsid w:val="004E6B6E"/>
    <w:rsid w:val="004F0734"/>
    <w:rsid w:val="004F158A"/>
    <w:rsid w:val="004F2593"/>
    <w:rsid w:val="004F2FE3"/>
    <w:rsid w:val="004F43C9"/>
    <w:rsid w:val="004F5EF2"/>
    <w:rsid w:val="004F6897"/>
    <w:rsid w:val="004F7A58"/>
    <w:rsid w:val="0050001B"/>
    <w:rsid w:val="0050049E"/>
    <w:rsid w:val="00500AB3"/>
    <w:rsid w:val="00501631"/>
    <w:rsid w:val="00501E6B"/>
    <w:rsid w:val="005029D8"/>
    <w:rsid w:val="00503B6F"/>
    <w:rsid w:val="00503C4A"/>
    <w:rsid w:val="00505525"/>
    <w:rsid w:val="00505569"/>
    <w:rsid w:val="005056D2"/>
    <w:rsid w:val="00505D8B"/>
    <w:rsid w:val="00506368"/>
    <w:rsid w:val="0050797F"/>
    <w:rsid w:val="00510B82"/>
    <w:rsid w:val="00510E5A"/>
    <w:rsid w:val="005115D8"/>
    <w:rsid w:val="00511DD6"/>
    <w:rsid w:val="00511F74"/>
    <w:rsid w:val="00512861"/>
    <w:rsid w:val="00512E92"/>
    <w:rsid w:val="0051430D"/>
    <w:rsid w:val="0051459A"/>
    <w:rsid w:val="0051604A"/>
    <w:rsid w:val="00517400"/>
    <w:rsid w:val="00517609"/>
    <w:rsid w:val="0051775C"/>
    <w:rsid w:val="00517946"/>
    <w:rsid w:val="00517C35"/>
    <w:rsid w:val="00520339"/>
    <w:rsid w:val="00520E5A"/>
    <w:rsid w:val="0052106C"/>
    <w:rsid w:val="00522886"/>
    <w:rsid w:val="00522949"/>
    <w:rsid w:val="0052312A"/>
    <w:rsid w:val="005274F4"/>
    <w:rsid w:val="00527C64"/>
    <w:rsid w:val="00530C3B"/>
    <w:rsid w:val="00532014"/>
    <w:rsid w:val="00534743"/>
    <w:rsid w:val="00534B75"/>
    <w:rsid w:val="00536618"/>
    <w:rsid w:val="005366CA"/>
    <w:rsid w:val="00536BA1"/>
    <w:rsid w:val="005370C7"/>
    <w:rsid w:val="00537540"/>
    <w:rsid w:val="005419A5"/>
    <w:rsid w:val="005420B2"/>
    <w:rsid w:val="00542326"/>
    <w:rsid w:val="00542CD5"/>
    <w:rsid w:val="00544F00"/>
    <w:rsid w:val="00545531"/>
    <w:rsid w:val="00545C55"/>
    <w:rsid w:val="00546027"/>
    <w:rsid w:val="00546BA6"/>
    <w:rsid w:val="00552561"/>
    <w:rsid w:val="00552A45"/>
    <w:rsid w:val="00553845"/>
    <w:rsid w:val="005547F3"/>
    <w:rsid w:val="00554BDB"/>
    <w:rsid w:val="00554EE6"/>
    <w:rsid w:val="00555F67"/>
    <w:rsid w:val="005569E4"/>
    <w:rsid w:val="0055732C"/>
    <w:rsid w:val="00557367"/>
    <w:rsid w:val="00560E13"/>
    <w:rsid w:val="005639CD"/>
    <w:rsid w:val="00563EDA"/>
    <w:rsid w:val="00564B37"/>
    <w:rsid w:val="00565107"/>
    <w:rsid w:val="00565FB9"/>
    <w:rsid w:val="0056687D"/>
    <w:rsid w:val="0056719D"/>
    <w:rsid w:val="00570F1B"/>
    <w:rsid w:val="0057100C"/>
    <w:rsid w:val="005713E4"/>
    <w:rsid w:val="00571564"/>
    <w:rsid w:val="00572EC2"/>
    <w:rsid w:val="005734A9"/>
    <w:rsid w:val="00573830"/>
    <w:rsid w:val="00573CE8"/>
    <w:rsid w:val="00574C9E"/>
    <w:rsid w:val="005756DF"/>
    <w:rsid w:val="00575749"/>
    <w:rsid w:val="00576452"/>
    <w:rsid w:val="005801C0"/>
    <w:rsid w:val="00580B22"/>
    <w:rsid w:val="005825C5"/>
    <w:rsid w:val="00584C11"/>
    <w:rsid w:val="00584D65"/>
    <w:rsid w:val="00584DA9"/>
    <w:rsid w:val="005858F8"/>
    <w:rsid w:val="00585B65"/>
    <w:rsid w:val="00585BE0"/>
    <w:rsid w:val="00586285"/>
    <w:rsid w:val="005873B4"/>
    <w:rsid w:val="005902A5"/>
    <w:rsid w:val="00590370"/>
    <w:rsid w:val="00591770"/>
    <w:rsid w:val="00593602"/>
    <w:rsid w:val="00593AF4"/>
    <w:rsid w:val="00593B3C"/>
    <w:rsid w:val="005940D6"/>
    <w:rsid w:val="0059480B"/>
    <w:rsid w:val="00594B68"/>
    <w:rsid w:val="00595477"/>
    <w:rsid w:val="00595E3F"/>
    <w:rsid w:val="005964D2"/>
    <w:rsid w:val="00596921"/>
    <w:rsid w:val="00596E7F"/>
    <w:rsid w:val="00597185"/>
    <w:rsid w:val="005976BD"/>
    <w:rsid w:val="00597B41"/>
    <w:rsid w:val="00597C61"/>
    <w:rsid w:val="005A0103"/>
    <w:rsid w:val="005A0CFB"/>
    <w:rsid w:val="005A2ABE"/>
    <w:rsid w:val="005A2E97"/>
    <w:rsid w:val="005A3DD6"/>
    <w:rsid w:val="005A5471"/>
    <w:rsid w:val="005A7828"/>
    <w:rsid w:val="005A7ECC"/>
    <w:rsid w:val="005B0FEA"/>
    <w:rsid w:val="005B138F"/>
    <w:rsid w:val="005B1528"/>
    <w:rsid w:val="005B24E4"/>
    <w:rsid w:val="005B29EE"/>
    <w:rsid w:val="005B351D"/>
    <w:rsid w:val="005B37C0"/>
    <w:rsid w:val="005B510B"/>
    <w:rsid w:val="005B5CA3"/>
    <w:rsid w:val="005B5CDC"/>
    <w:rsid w:val="005B7A0E"/>
    <w:rsid w:val="005C06EE"/>
    <w:rsid w:val="005C16D6"/>
    <w:rsid w:val="005C1F55"/>
    <w:rsid w:val="005C23AF"/>
    <w:rsid w:val="005C2783"/>
    <w:rsid w:val="005C2DC2"/>
    <w:rsid w:val="005C2FBB"/>
    <w:rsid w:val="005C3069"/>
    <w:rsid w:val="005C3881"/>
    <w:rsid w:val="005C48D5"/>
    <w:rsid w:val="005C5736"/>
    <w:rsid w:val="005C731A"/>
    <w:rsid w:val="005D03AE"/>
    <w:rsid w:val="005D0C01"/>
    <w:rsid w:val="005D148A"/>
    <w:rsid w:val="005D1D36"/>
    <w:rsid w:val="005D248B"/>
    <w:rsid w:val="005D3620"/>
    <w:rsid w:val="005D3D52"/>
    <w:rsid w:val="005D6622"/>
    <w:rsid w:val="005D7377"/>
    <w:rsid w:val="005E055D"/>
    <w:rsid w:val="005E0860"/>
    <w:rsid w:val="005E0945"/>
    <w:rsid w:val="005E0FA0"/>
    <w:rsid w:val="005E0FF6"/>
    <w:rsid w:val="005E121B"/>
    <w:rsid w:val="005E214A"/>
    <w:rsid w:val="005E5211"/>
    <w:rsid w:val="005E7CC8"/>
    <w:rsid w:val="005F0784"/>
    <w:rsid w:val="005F0A80"/>
    <w:rsid w:val="005F1850"/>
    <w:rsid w:val="005F3027"/>
    <w:rsid w:val="005F42D3"/>
    <w:rsid w:val="005F46B8"/>
    <w:rsid w:val="005F541F"/>
    <w:rsid w:val="005F5523"/>
    <w:rsid w:val="005F57BE"/>
    <w:rsid w:val="005F6C14"/>
    <w:rsid w:val="005F70B1"/>
    <w:rsid w:val="005F73FC"/>
    <w:rsid w:val="0060115A"/>
    <w:rsid w:val="0060127A"/>
    <w:rsid w:val="006013C6"/>
    <w:rsid w:val="00602046"/>
    <w:rsid w:val="00602D8F"/>
    <w:rsid w:val="00602E68"/>
    <w:rsid w:val="00603656"/>
    <w:rsid w:val="00603B90"/>
    <w:rsid w:val="0060471C"/>
    <w:rsid w:val="006049A5"/>
    <w:rsid w:val="00605530"/>
    <w:rsid w:val="00605FFA"/>
    <w:rsid w:val="00606D27"/>
    <w:rsid w:val="00607019"/>
    <w:rsid w:val="006075EA"/>
    <w:rsid w:val="006117A6"/>
    <w:rsid w:val="00611DCB"/>
    <w:rsid w:val="00612488"/>
    <w:rsid w:val="00612C80"/>
    <w:rsid w:val="00613BF1"/>
    <w:rsid w:val="00614861"/>
    <w:rsid w:val="00615C3C"/>
    <w:rsid w:val="00616721"/>
    <w:rsid w:val="00617140"/>
    <w:rsid w:val="0061773B"/>
    <w:rsid w:val="00617C09"/>
    <w:rsid w:val="00620506"/>
    <w:rsid w:val="0062063F"/>
    <w:rsid w:val="00623565"/>
    <w:rsid w:val="006244BA"/>
    <w:rsid w:val="006249FB"/>
    <w:rsid w:val="006266C8"/>
    <w:rsid w:val="00626C8D"/>
    <w:rsid w:val="00626EFA"/>
    <w:rsid w:val="0062724B"/>
    <w:rsid w:val="00630772"/>
    <w:rsid w:val="0063178F"/>
    <w:rsid w:val="00631A9C"/>
    <w:rsid w:val="006327CC"/>
    <w:rsid w:val="00633BA2"/>
    <w:rsid w:val="00633C62"/>
    <w:rsid w:val="0063424E"/>
    <w:rsid w:val="00634BBA"/>
    <w:rsid w:val="0063548C"/>
    <w:rsid w:val="006354C0"/>
    <w:rsid w:val="006360A5"/>
    <w:rsid w:val="00640D11"/>
    <w:rsid w:val="00641674"/>
    <w:rsid w:val="006416D4"/>
    <w:rsid w:val="00641B27"/>
    <w:rsid w:val="00641F7B"/>
    <w:rsid w:val="0064379B"/>
    <w:rsid w:val="006453B4"/>
    <w:rsid w:val="0064582F"/>
    <w:rsid w:val="006459BC"/>
    <w:rsid w:val="00645B76"/>
    <w:rsid w:val="006465A2"/>
    <w:rsid w:val="006468DF"/>
    <w:rsid w:val="00646E97"/>
    <w:rsid w:val="00650879"/>
    <w:rsid w:val="00651B41"/>
    <w:rsid w:val="006524F2"/>
    <w:rsid w:val="00652907"/>
    <w:rsid w:val="00652D2A"/>
    <w:rsid w:val="00652F3A"/>
    <w:rsid w:val="00653073"/>
    <w:rsid w:val="006548FE"/>
    <w:rsid w:val="006560D5"/>
    <w:rsid w:val="006604C1"/>
    <w:rsid w:val="00660D9B"/>
    <w:rsid w:val="00660FC9"/>
    <w:rsid w:val="00662D91"/>
    <w:rsid w:val="00663DCC"/>
    <w:rsid w:val="00663F64"/>
    <w:rsid w:val="006650E5"/>
    <w:rsid w:val="00665C16"/>
    <w:rsid w:val="00666FAB"/>
    <w:rsid w:val="00667B46"/>
    <w:rsid w:val="00667D90"/>
    <w:rsid w:val="00670E9A"/>
    <w:rsid w:val="00672047"/>
    <w:rsid w:val="006721DE"/>
    <w:rsid w:val="0067246D"/>
    <w:rsid w:val="0067254F"/>
    <w:rsid w:val="00674054"/>
    <w:rsid w:val="0067467B"/>
    <w:rsid w:val="00675664"/>
    <w:rsid w:val="00675CC6"/>
    <w:rsid w:val="006768D4"/>
    <w:rsid w:val="006771E1"/>
    <w:rsid w:val="00677D03"/>
    <w:rsid w:val="0068139F"/>
    <w:rsid w:val="00683067"/>
    <w:rsid w:val="006845CB"/>
    <w:rsid w:val="00684910"/>
    <w:rsid w:val="006857A1"/>
    <w:rsid w:val="00685A40"/>
    <w:rsid w:val="00690299"/>
    <w:rsid w:val="00690C70"/>
    <w:rsid w:val="00691FBE"/>
    <w:rsid w:val="00692B71"/>
    <w:rsid w:val="00695AB2"/>
    <w:rsid w:val="00695B06"/>
    <w:rsid w:val="00695D50"/>
    <w:rsid w:val="00697FCA"/>
    <w:rsid w:val="006A1E99"/>
    <w:rsid w:val="006A2B94"/>
    <w:rsid w:val="006A3EE5"/>
    <w:rsid w:val="006A44BE"/>
    <w:rsid w:val="006A4E30"/>
    <w:rsid w:val="006A6174"/>
    <w:rsid w:val="006A6186"/>
    <w:rsid w:val="006A7BA6"/>
    <w:rsid w:val="006B2966"/>
    <w:rsid w:val="006B30AF"/>
    <w:rsid w:val="006B38DE"/>
    <w:rsid w:val="006B3FB4"/>
    <w:rsid w:val="006B4271"/>
    <w:rsid w:val="006B5177"/>
    <w:rsid w:val="006B55C8"/>
    <w:rsid w:val="006B6370"/>
    <w:rsid w:val="006B6822"/>
    <w:rsid w:val="006B6856"/>
    <w:rsid w:val="006B69A5"/>
    <w:rsid w:val="006B718F"/>
    <w:rsid w:val="006C11B3"/>
    <w:rsid w:val="006C127E"/>
    <w:rsid w:val="006C18DB"/>
    <w:rsid w:val="006C3DB9"/>
    <w:rsid w:val="006C4A3E"/>
    <w:rsid w:val="006C4BF8"/>
    <w:rsid w:val="006C5436"/>
    <w:rsid w:val="006C6D18"/>
    <w:rsid w:val="006D12A0"/>
    <w:rsid w:val="006D1319"/>
    <w:rsid w:val="006D1693"/>
    <w:rsid w:val="006D1A26"/>
    <w:rsid w:val="006D220A"/>
    <w:rsid w:val="006D2446"/>
    <w:rsid w:val="006D2B0F"/>
    <w:rsid w:val="006D2E7C"/>
    <w:rsid w:val="006D337A"/>
    <w:rsid w:val="006D4216"/>
    <w:rsid w:val="006D4298"/>
    <w:rsid w:val="006D5D37"/>
    <w:rsid w:val="006D6375"/>
    <w:rsid w:val="006D6B8B"/>
    <w:rsid w:val="006D6C26"/>
    <w:rsid w:val="006D78F9"/>
    <w:rsid w:val="006D7D23"/>
    <w:rsid w:val="006D7E31"/>
    <w:rsid w:val="006D7F18"/>
    <w:rsid w:val="006E0594"/>
    <w:rsid w:val="006E15E0"/>
    <w:rsid w:val="006E25ED"/>
    <w:rsid w:val="006E265D"/>
    <w:rsid w:val="006E282E"/>
    <w:rsid w:val="006E32C8"/>
    <w:rsid w:val="006E34D3"/>
    <w:rsid w:val="006E4EAB"/>
    <w:rsid w:val="006E50C2"/>
    <w:rsid w:val="006E5CE8"/>
    <w:rsid w:val="006E63FE"/>
    <w:rsid w:val="006E7AEA"/>
    <w:rsid w:val="006E7D71"/>
    <w:rsid w:val="006F014B"/>
    <w:rsid w:val="006F0742"/>
    <w:rsid w:val="006F0845"/>
    <w:rsid w:val="006F08CD"/>
    <w:rsid w:val="006F39E4"/>
    <w:rsid w:val="006F3B1A"/>
    <w:rsid w:val="006F4093"/>
    <w:rsid w:val="006F4599"/>
    <w:rsid w:val="006F4600"/>
    <w:rsid w:val="006F487F"/>
    <w:rsid w:val="006F502F"/>
    <w:rsid w:val="006F56D2"/>
    <w:rsid w:val="006F5C23"/>
    <w:rsid w:val="006F6198"/>
    <w:rsid w:val="006F6E62"/>
    <w:rsid w:val="006F7677"/>
    <w:rsid w:val="006F7C5E"/>
    <w:rsid w:val="00700990"/>
    <w:rsid w:val="0070106F"/>
    <w:rsid w:val="0070179F"/>
    <w:rsid w:val="00701D1C"/>
    <w:rsid w:val="0070548D"/>
    <w:rsid w:val="00707134"/>
    <w:rsid w:val="00707D81"/>
    <w:rsid w:val="00711875"/>
    <w:rsid w:val="0071254F"/>
    <w:rsid w:val="00712573"/>
    <w:rsid w:val="00713B34"/>
    <w:rsid w:val="007172AC"/>
    <w:rsid w:val="00717BCF"/>
    <w:rsid w:val="00720421"/>
    <w:rsid w:val="00723283"/>
    <w:rsid w:val="007239E1"/>
    <w:rsid w:val="00723CD6"/>
    <w:rsid w:val="007242CE"/>
    <w:rsid w:val="00726B1A"/>
    <w:rsid w:val="00727A3C"/>
    <w:rsid w:val="00727C72"/>
    <w:rsid w:val="00730058"/>
    <w:rsid w:val="00732122"/>
    <w:rsid w:val="007327AE"/>
    <w:rsid w:val="00732DF3"/>
    <w:rsid w:val="00733399"/>
    <w:rsid w:val="00733564"/>
    <w:rsid w:val="007336E7"/>
    <w:rsid w:val="0073488D"/>
    <w:rsid w:val="00734D7B"/>
    <w:rsid w:val="00735964"/>
    <w:rsid w:val="00735C27"/>
    <w:rsid w:val="00735ED2"/>
    <w:rsid w:val="00736318"/>
    <w:rsid w:val="00737801"/>
    <w:rsid w:val="00740BDB"/>
    <w:rsid w:val="00740FCB"/>
    <w:rsid w:val="00742396"/>
    <w:rsid w:val="0074295A"/>
    <w:rsid w:val="00742994"/>
    <w:rsid w:val="0074378F"/>
    <w:rsid w:val="00744CAD"/>
    <w:rsid w:val="007455A7"/>
    <w:rsid w:val="007455D5"/>
    <w:rsid w:val="00745F23"/>
    <w:rsid w:val="00746323"/>
    <w:rsid w:val="00747D45"/>
    <w:rsid w:val="00750BA9"/>
    <w:rsid w:val="00751362"/>
    <w:rsid w:val="00751523"/>
    <w:rsid w:val="0075443E"/>
    <w:rsid w:val="007547A4"/>
    <w:rsid w:val="0075640A"/>
    <w:rsid w:val="00757A57"/>
    <w:rsid w:val="00757C5F"/>
    <w:rsid w:val="0076004B"/>
    <w:rsid w:val="007601FA"/>
    <w:rsid w:val="00760F82"/>
    <w:rsid w:val="007639BC"/>
    <w:rsid w:val="007640DB"/>
    <w:rsid w:val="00764F62"/>
    <w:rsid w:val="0076549F"/>
    <w:rsid w:val="0076641D"/>
    <w:rsid w:val="007668B1"/>
    <w:rsid w:val="00766C76"/>
    <w:rsid w:val="007670FC"/>
    <w:rsid w:val="007678DD"/>
    <w:rsid w:val="007679F6"/>
    <w:rsid w:val="00770691"/>
    <w:rsid w:val="00770F69"/>
    <w:rsid w:val="00773908"/>
    <w:rsid w:val="00773B65"/>
    <w:rsid w:val="00773BF3"/>
    <w:rsid w:val="007746F0"/>
    <w:rsid w:val="0077494B"/>
    <w:rsid w:val="00774AD2"/>
    <w:rsid w:val="00774DFA"/>
    <w:rsid w:val="007763BF"/>
    <w:rsid w:val="0077695F"/>
    <w:rsid w:val="00777531"/>
    <w:rsid w:val="00780524"/>
    <w:rsid w:val="00782699"/>
    <w:rsid w:val="00782A89"/>
    <w:rsid w:val="00782CBB"/>
    <w:rsid w:val="007835C8"/>
    <w:rsid w:val="00784769"/>
    <w:rsid w:val="00784B4F"/>
    <w:rsid w:val="00785617"/>
    <w:rsid w:val="00785C5C"/>
    <w:rsid w:val="0078621E"/>
    <w:rsid w:val="00786343"/>
    <w:rsid w:val="00787278"/>
    <w:rsid w:val="007879DA"/>
    <w:rsid w:val="007905A6"/>
    <w:rsid w:val="00790627"/>
    <w:rsid w:val="0079154C"/>
    <w:rsid w:val="007915B0"/>
    <w:rsid w:val="007919B1"/>
    <w:rsid w:val="007929EC"/>
    <w:rsid w:val="00792D36"/>
    <w:rsid w:val="00792D45"/>
    <w:rsid w:val="007948C6"/>
    <w:rsid w:val="00795348"/>
    <w:rsid w:val="0079564D"/>
    <w:rsid w:val="00795977"/>
    <w:rsid w:val="00797067"/>
    <w:rsid w:val="00797401"/>
    <w:rsid w:val="007978FB"/>
    <w:rsid w:val="00797DB6"/>
    <w:rsid w:val="00797F1D"/>
    <w:rsid w:val="007A041D"/>
    <w:rsid w:val="007A111D"/>
    <w:rsid w:val="007A1570"/>
    <w:rsid w:val="007A1A71"/>
    <w:rsid w:val="007A1DD1"/>
    <w:rsid w:val="007A2018"/>
    <w:rsid w:val="007A39F1"/>
    <w:rsid w:val="007A459B"/>
    <w:rsid w:val="007A6699"/>
    <w:rsid w:val="007B06FC"/>
    <w:rsid w:val="007B1567"/>
    <w:rsid w:val="007B243B"/>
    <w:rsid w:val="007B2A07"/>
    <w:rsid w:val="007B30E3"/>
    <w:rsid w:val="007B46B4"/>
    <w:rsid w:val="007B497C"/>
    <w:rsid w:val="007B4D02"/>
    <w:rsid w:val="007B4FF5"/>
    <w:rsid w:val="007B5301"/>
    <w:rsid w:val="007B592A"/>
    <w:rsid w:val="007B7818"/>
    <w:rsid w:val="007B7D13"/>
    <w:rsid w:val="007C043E"/>
    <w:rsid w:val="007C05E7"/>
    <w:rsid w:val="007C0B62"/>
    <w:rsid w:val="007C0CB7"/>
    <w:rsid w:val="007C0EBD"/>
    <w:rsid w:val="007C1805"/>
    <w:rsid w:val="007C1F77"/>
    <w:rsid w:val="007C2179"/>
    <w:rsid w:val="007C22D3"/>
    <w:rsid w:val="007C3140"/>
    <w:rsid w:val="007C40B9"/>
    <w:rsid w:val="007C478C"/>
    <w:rsid w:val="007C6322"/>
    <w:rsid w:val="007C68A2"/>
    <w:rsid w:val="007C6BF6"/>
    <w:rsid w:val="007C79EB"/>
    <w:rsid w:val="007D2C4F"/>
    <w:rsid w:val="007D3916"/>
    <w:rsid w:val="007D40D6"/>
    <w:rsid w:val="007D50B5"/>
    <w:rsid w:val="007D5310"/>
    <w:rsid w:val="007D5E3B"/>
    <w:rsid w:val="007D684E"/>
    <w:rsid w:val="007D7509"/>
    <w:rsid w:val="007D7D98"/>
    <w:rsid w:val="007E109D"/>
    <w:rsid w:val="007E12F4"/>
    <w:rsid w:val="007E229A"/>
    <w:rsid w:val="007E3671"/>
    <w:rsid w:val="007E47AC"/>
    <w:rsid w:val="007E6CAB"/>
    <w:rsid w:val="007E6F9C"/>
    <w:rsid w:val="007F0BD0"/>
    <w:rsid w:val="007F159A"/>
    <w:rsid w:val="007F2F32"/>
    <w:rsid w:val="007F337C"/>
    <w:rsid w:val="007F340E"/>
    <w:rsid w:val="007F4C78"/>
    <w:rsid w:val="007F571D"/>
    <w:rsid w:val="007F6DBC"/>
    <w:rsid w:val="007F6FE0"/>
    <w:rsid w:val="007F6FF8"/>
    <w:rsid w:val="00800512"/>
    <w:rsid w:val="0080156F"/>
    <w:rsid w:val="008022C9"/>
    <w:rsid w:val="00802772"/>
    <w:rsid w:val="008031D7"/>
    <w:rsid w:val="00803470"/>
    <w:rsid w:val="00803ED8"/>
    <w:rsid w:val="008043BA"/>
    <w:rsid w:val="00805002"/>
    <w:rsid w:val="00805547"/>
    <w:rsid w:val="008058B6"/>
    <w:rsid w:val="0080651E"/>
    <w:rsid w:val="008076B2"/>
    <w:rsid w:val="00807AB7"/>
    <w:rsid w:val="00810569"/>
    <w:rsid w:val="00810AB1"/>
    <w:rsid w:val="00813090"/>
    <w:rsid w:val="00814934"/>
    <w:rsid w:val="0081612D"/>
    <w:rsid w:val="008206B4"/>
    <w:rsid w:val="00820803"/>
    <w:rsid w:val="00820B97"/>
    <w:rsid w:val="008214E4"/>
    <w:rsid w:val="00822703"/>
    <w:rsid w:val="008236CA"/>
    <w:rsid w:val="008237AA"/>
    <w:rsid w:val="00823BD1"/>
    <w:rsid w:val="00823C97"/>
    <w:rsid w:val="008240E3"/>
    <w:rsid w:val="00825329"/>
    <w:rsid w:val="00827D11"/>
    <w:rsid w:val="00830E54"/>
    <w:rsid w:val="008327A3"/>
    <w:rsid w:val="008349A5"/>
    <w:rsid w:val="00834CE8"/>
    <w:rsid w:val="008356B6"/>
    <w:rsid w:val="00836007"/>
    <w:rsid w:val="0083703F"/>
    <w:rsid w:val="008375F2"/>
    <w:rsid w:val="00837C84"/>
    <w:rsid w:val="008403D3"/>
    <w:rsid w:val="008418DD"/>
    <w:rsid w:val="00842D4F"/>
    <w:rsid w:val="0084324A"/>
    <w:rsid w:val="00844079"/>
    <w:rsid w:val="0084440A"/>
    <w:rsid w:val="00851B0E"/>
    <w:rsid w:val="00852482"/>
    <w:rsid w:val="0085248C"/>
    <w:rsid w:val="008536A0"/>
    <w:rsid w:val="0085408F"/>
    <w:rsid w:val="00856E69"/>
    <w:rsid w:val="00857668"/>
    <w:rsid w:val="00860CA4"/>
    <w:rsid w:val="008619D4"/>
    <w:rsid w:val="008637F0"/>
    <w:rsid w:val="00864021"/>
    <w:rsid w:val="00864999"/>
    <w:rsid w:val="008650CB"/>
    <w:rsid w:val="0086574C"/>
    <w:rsid w:val="008667CA"/>
    <w:rsid w:val="0086721C"/>
    <w:rsid w:val="0086723C"/>
    <w:rsid w:val="00867DF0"/>
    <w:rsid w:val="00867DFB"/>
    <w:rsid w:val="0087489A"/>
    <w:rsid w:val="008749E2"/>
    <w:rsid w:val="00874A4C"/>
    <w:rsid w:val="00874BE6"/>
    <w:rsid w:val="00875DE1"/>
    <w:rsid w:val="00876749"/>
    <w:rsid w:val="00876A69"/>
    <w:rsid w:val="00880385"/>
    <w:rsid w:val="00880CFB"/>
    <w:rsid w:val="008814AB"/>
    <w:rsid w:val="0088377E"/>
    <w:rsid w:val="008846FC"/>
    <w:rsid w:val="00884813"/>
    <w:rsid w:val="008852BD"/>
    <w:rsid w:val="00885339"/>
    <w:rsid w:val="00887B4F"/>
    <w:rsid w:val="00890650"/>
    <w:rsid w:val="00891903"/>
    <w:rsid w:val="008932E1"/>
    <w:rsid w:val="00893ADB"/>
    <w:rsid w:val="00894F12"/>
    <w:rsid w:val="008969D0"/>
    <w:rsid w:val="00897301"/>
    <w:rsid w:val="008A01FB"/>
    <w:rsid w:val="008A0876"/>
    <w:rsid w:val="008A0B6D"/>
    <w:rsid w:val="008A0DE1"/>
    <w:rsid w:val="008A1938"/>
    <w:rsid w:val="008A20D2"/>
    <w:rsid w:val="008A39FD"/>
    <w:rsid w:val="008A434A"/>
    <w:rsid w:val="008A4617"/>
    <w:rsid w:val="008A7409"/>
    <w:rsid w:val="008A7985"/>
    <w:rsid w:val="008A7E03"/>
    <w:rsid w:val="008A7EE7"/>
    <w:rsid w:val="008B0867"/>
    <w:rsid w:val="008B0948"/>
    <w:rsid w:val="008B1FF4"/>
    <w:rsid w:val="008B2B27"/>
    <w:rsid w:val="008B2B49"/>
    <w:rsid w:val="008B3446"/>
    <w:rsid w:val="008B389D"/>
    <w:rsid w:val="008B3DD1"/>
    <w:rsid w:val="008B5920"/>
    <w:rsid w:val="008B6E08"/>
    <w:rsid w:val="008B726B"/>
    <w:rsid w:val="008C04A4"/>
    <w:rsid w:val="008C05B0"/>
    <w:rsid w:val="008C09B6"/>
    <w:rsid w:val="008C212C"/>
    <w:rsid w:val="008C2AAD"/>
    <w:rsid w:val="008C31CF"/>
    <w:rsid w:val="008C3D53"/>
    <w:rsid w:val="008C76BF"/>
    <w:rsid w:val="008C76ED"/>
    <w:rsid w:val="008D0116"/>
    <w:rsid w:val="008D0170"/>
    <w:rsid w:val="008D089C"/>
    <w:rsid w:val="008D0BE8"/>
    <w:rsid w:val="008D0F1A"/>
    <w:rsid w:val="008D1B51"/>
    <w:rsid w:val="008D1D4E"/>
    <w:rsid w:val="008D2387"/>
    <w:rsid w:val="008D2797"/>
    <w:rsid w:val="008D4DA8"/>
    <w:rsid w:val="008D53DE"/>
    <w:rsid w:val="008D675D"/>
    <w:rsid w:val="008D6999"/>
    <w:rsid w:val="008D6ACD"/>
    <w:rsid w:val="008D745E"/>
    <w:rsid w:val="008E0252"/>
    <w:rsid w:val="008E18F9"/>
    <w:rsid w:val="008E275B"/>
    <w:rsid w:val="008E400D"/>
    <w:rsid w:val="008E5B0E"/>
    <w:rsid w:val="008E62BE"/>
    <w:rsid w:val="008F06F9"/>
    <w:rsid w:val="008F1196"/>
    <w:rsid w:val="008F1863"/>
    <w:rsid w:val="008F1ECA"/>
    <w:rsid w:val="008F2DAC"/>
    <w:rsid w:val="008F2F70"/>
    <w:rsid w:val="008F547F"/>
    <w:rsid w:val="008F551E"/>
    <w:rsid w:val="008F57CA"/>
    <w:rsid w:val="008F58DD"/>
    <w:rsid w:val="008F7986"/>
    <w:rsid w:val="00900CD1"/>
    <w:rsid w:val="00902CD2"/>
    <w:rsid w:val="009031F6"/>
    <w:rsid w:val="00903B92"/>
    <w:rsid w:val="00903EF6"/>
    <w:rsid w:val="0090561C"/>
    <w:rsid w:val="00907A31"/>
    <w:rsid w:val="00911ABA"/>
    <w:rsid w:val="00911E8D"/>
    <w:rsid w:val="009129CC"/>
    <w:rsid w:val="00912DFA"/>
    <w:rsid w:val="00913106"/>
    <w:rsid w:val="0091371E"/>
    <w:rsid w:val="00914CBC"/>
    <w:rsid w:val="0091591D"/>
    <w:rsid w:val="00916FBE"/>
    <w:rsid w:val="00917622"/>
    <w:rsid w:val="0091799E"/>
    <w:rsid w:val="00920489"/>
    <w:rsid w:val="009227D0"/>
    <w:rsid w:val="00923510"/>
    <w:rsid w:val="00923E15"/>
    <w:rsid w:val="00924574"/>
    <w:rsid w:val="009246A0"/>
    <w:rsid w:val="00924971"/>
    <w:rsid w:val="00924A0E"/>
    <w:rsid w:val="00924D9A"/>
    <w:rsid w:val="00925035"/>
    <w:rsid w:val="009252DA"/>
    <w:rsid w:val="009262CC"/>
    <w:rsid w:val="00927923"/>
    <w:rsid w:val="00931915"/>
    <w:rsid w:val="00932EF4"/>
    <w:rsid w:val="00934F5F"/>
    <w:rsid w:val="00936A8E"/>
    <w:rsid w:val="00936B4E"/>
    <w:rsid w:val="009372A2"/>
    <w:rsid w:val="00937A52"/>
    <w:rsid w:val="00940F52"/>
    <w:rsid w:val="00941088"/>
    <w:rsid w:val="00942110"/>
    <w:rsid w:val="0094241B"/>
    <w:rsid w:val="0094395F"/>
    <w:rsid w:val="00943E1A"/>
    <w:rsid w:val="00944728"/>
    <w:rsid w:val="009454B6"/>
    <w:rsid w:val="00945659"/>
    <w:rsid w:val="009458F8"/>
    <w:rsid w:val="009464F0"/>
    <w:rsid w:val="00946E28"/>
    <w:rsid w:val="00950313"/>
    <w:rsid w:val="009506FF"/>
    <w:rsid w:val="00950C50"/>
    <w:rsid w:val="00950D5C"/>
    <w:rsid w:val="0095112A"/>
    <w:rsid w:val="00951138"/>
    <w:rsid w:val="0095183F"/>
    <w:rsid w:val="00951859"/>
    <w:rsid w:val="00951C15"/>
    <w:rsid w:val="00952170"/>
    <w:rsid w:val="00952873"/>
    <w:rsid w:val="00953B9B"/>
    <w:rsid w:val="00955B81"/>
    <w:rsid w:val="0095622B"/>
    <w:rsid w:val="0095666D"/>
    <w:rsid w:val="00960990"/>
    <w:rsid w:val="00960BB6"/>
    <w:rsid w:val="00961DB5"/>
    <w:rsid w:val="00963973"/>
    <w:rsid w:val="00965E99"/>
    <w:rsid w:val="009663EA"/>
    <w:rsid w:val="0096678A"/>
    <w:rsid w:val="00970722"/>
    <w:rsid w:val="0097075B"/>
    <w:rsid w:val="009713A6"/>
    <w:rsid w:val="00972172"/>
    <w:rsid w:val="0097286B"/>
    <w:rsid w:val="0097287F"/>
    <w:rsid w:val="009728E2"/>
    <w:rsid w:val="00972F6A"/>
    <w:rsid w:val="0097343B"/>
    <w:rsid w:val="00974353"/>
    <w:rsid w:val="00974746"/>
    <w:rsid w:val="009749D6"/>
    <w:rsid w:val="00974BC9"/>
    <w:rsid w:val="00974D2E"/>
    <w:rsid w:val="00977A43"/>
    <w:rsid w:val="00977FE7"/>
    <w:rsid w:val="00980C0D"/>
    <w:rsid w:val="00981F08"/>
    <w:rsid w:val="00982347"/>
    <w:rsid w:val="0098278B"/>
    <w:rsid w:val="009828E7"/>
    <w:rsid w:val="00983AB4"/>
    <w:rsid w:val="00984436"/>
    <w:rsid w:val="00984787"/>
    <w:rsid w:val="009869A7"/>
    <w:rsid w:val="00987142"/>
    <w:rsid w:val="00987538"/>
    <w:rsid w:val="00990308"/>
    <w:rsid w:val="00991ADF"/>
    <w:rsid w:val="009936E7"/>
    <w:rsid w:val="0099632B"/>
    <w:rsid w:val="009975D7"/>
    <w:rsid w:val="009A109B"/>
    <w:rsid w:val="009A42B7"/>
    <w:rsid w:val="009A48EF"/>
    <w:rsid w:val="009A5B13"/>
    <w:rsid w:val="009A76B9"/>
    <w:rsid w:val="009A7E03"/>
    <w:rsid w:val="009B00B4"/>
    <w:rsid w:val="009B0A6D"/>
    <w:rsid w:val="009B0E6E"/>
    <w:rsid w:val="009B21B3"/>
    <w:rsid w:val="009B390D"/>
    <w:rsid w:val="009B3AF4"/>
    <w:rsid w:val="009B50E5"/>
    <w:rsid w:val="009B53EE"/>
    <w:rsid w:val="009B564E"/>
    <w:rsid w:val="009B5D54"/>
    <w:rsid w:val="009B70D8"/>
    <w:rsid w:val="009C0A09"/>
    <w:rsid w:val="009C0BCF"/>
    <w:rsid w:val="009C3572"/>
    <w:rsid w:val="009C44EC"/>
    <w:rsid w:val="009C4881"/>
    <w:rsid w:val="009C4A2A"/>
    <w:rsid w:val="009C555A"/>
    <w:rsid w:val="009C69B4"/>
    <w:rsid w:val="009C7AF1"/>
    <w:rsid w:val="009D0B96"/>
    <w:rsid w:val="009D18F1"/>
    <w:rsid w:val="009D1A4C"/>
    <w:rsid w:val="009D2089"/>
    <w:rsid w:val="009D2474"/>
    <w:rsid w:val="009D4377"/>
    <w:rsid w:val="009D5FB5"/>
    <w:rsid w:val="009D6E44"/>
    <w:rsid w:val="009D70A9"/>
    <w:rsid w:val="009D7523"/>
    <w:rsid w:val="009D7669"/>
    <w:rsid w:val="009D7F96"/>
    <w:rsid w:val="009E0FE5"/>
    <w:rsid w:val="009E11F0"/>
    <w:rsid w:val="009E1338"/>
    <w:rsid w:val="009E2257"/>
    <w:rsid w:val="009E3575"/>
    <w:rsid w:val="009E36A4"/>
    <w:rsid w:val="009E56DF"/>
    <w:rsid w:val="009E656C"/>
    <w:rsid w:val="009E65F7"/>
    <w:rsid w:val="009E6EE9"/>
    <w:rsid w:val="009F176D"/>
    <w:rsid w:val="009F1B9F"/>
    <w:rsid w:val="009F29D4"/>
    <w:rsid w:val="009F43B1"/>
    <w:rsid w:val="009F4657"/>
    <w:rsid w:val="009F6920"/>
    <w:rsid w:val="009F6C39"/>
    <w:rsid w:val="009F7352"/>
    <w:rsid w:val="009F7B01"/>
    <w:rsid w:val="00A01819"/>
    <w:rsid w:val="00A024D5"/>
    <w:rsid w:val="00A042FD"/>
    <w:rsid w:val="00A051B7"/>
    <w:rsid w:val="00A0750C"/>
    <w:rsid w:val="00A07F7D"/>
    <w:rsid w:val="00A10601"/>
    <w:rsid w:val="00A10776"/>
    <w:rsid w:val="00A12070"/>
    <w:rsid w:val="00A1273B"/>
    <w:rsid w:val="00A13536"/>
    <w:rsid w:val="00A147DB"/>
    <w:rsid w:val="00A14A34"/>
    <w:rsid w:val="00A15542"/>
    <w:rsid w:val="00A161AD"/>
    <w:rsid w:val="00A16CD2"/>
    <w:rsid w:val="00A17704"/>
    <w:rsid w:val="00A1795D"/>
    <w:rsid w:val="00A2052A"/>
    <w:rsid w:val="00A211A1"/>
    <w:rsid w:val="00A231B1"/>
    <w:rsid w:val="00A26AC7"/>
    <w:rsid w:val="00A26F08"/>
    <w:rsid w:val="00A270B5"/>
    <w:rsid w:val="00A30B0B"/>
    <w:rsid w:val="00A33AC7"/>
    <w:rsid w:val="00A352D4"/>
    <w:rsid w:val="00A36169"/>
    <w:rsid w:val="00A366B3"/>
    <w:rsid w:val="00A36F65"/>
    <w:rsid w:val="00A3736D"/>
    <w:rsid w:val="00A37906"/>
    <w:rsid w:val="00A37DE4"/>
    <w:rsid w:val="00A40596"/>
    <w:rsid w:val="00A41121"/>
    <w:rsid w:val="00A4395E"/>
    <w:rsid w:val="00A456FD"/>
    <w:rsid w:val="00A4570D"/>
    <w:rsid w:val="00A45CAB"/>
    <w:rsid w:val="00A45E1D"/>
    <w:rsid w:val="00A4611E"/>
    <w:rsid w:val="00A4670B"/>
    <w:rsid w:val="00A46AAB"/>
    <w:rsid w:val="00A5079A"/>
    <w:rsid w:val="00A527E1"/>
    <w:rsid w:val="00A53872"/>
    <w:rsid w:val="00A56F00"/>
    <w:rsid w:val="00A5703B"/>
    <w:rsid w:val="00A57078"/>
    <w:rsid w:val="00A6039A"/>
    <w:rsid w:val="00A60A95"/>
    <w:rsid w:val="00A6161C"/>
    <w:rsid w:val="00A61BAB"/>
    <w:rsid w:val="00A61BDF"/>
    <w:rsid w:val="00A62A16"/>
    <w:rsid w:val="00A674E7"/>
    <w:rsid w:val="00A674E9"/>
    <w:rsid w:val="00A70552"/>
    <w:rsid w:val="00A726C5"/>
    <w:rsid w:val="00A72D82"/>
    <w:rsid w:val="00A72F0D"/>
    <w:rsid w:val="00A73174"/>
    <w:rsid w:val="00A73894"/>
    <w:rsid w:val="00A74F27"/>
    <w:rsid w:val="00A759E4"/>
    <w:rsid w:val="00A7629A"/>
    <w:rsid w:val="00A76800"/>
    <w:rsid w:val="00A76A3D"/>
    <w:rsid w:val="00A770F8"/>
    <w:rsid w:val="00A771E2"/>
    <w:rsid w:val="00A820AB"/>
    <w:rsid w:val="00A823D2"/>
    <w:rsid w:val="00A82B73"/>
    <w:rsid w:val="00A82C06"/>
    <w:rsid w:val="00A857C4"/>
    <w:rsid w:val="00A85E5C"/>
    <w:rsid w:val="00A8648F"/>
    <w:rsid w:val="00A8707E"/>
    <w:rsid w:val="00A8738A"/>
    <w:rsid w:val="00A876D3"/>
    <w:rsid w:val="00A903D8"/>
    <w:rsid w:val="00A90A13"/>
    <w:rsid w:val="00A918FA"/>
    <w:rsid w:val="00A929DE"/>
    <w:rsid w:val="00A931C0"/>
    <w:rsid w:val="00A943BF"/>
    <w:rsid w:val="00A94C72"/>
    <w:rsid w:val="00A95571"/>
    <w:rsid w:val="00A9563C"/>
    <w:rsid w:val="00A95D2B"/>
    <w:rsid w:val="00A96456"/>
    <w:rsid w:val="00A96DF9"/>
    <w:rsid w:val="00A97077"/>
    <w:rsid w:val="00A97F11"/>
    <w:rsid w:val="00AA12A7"/>
    <w:rsid w:val="00AA15DD"/>
    <w:rsid w:val="00AA238F"/>
    <w:rsid w:val="00AA370E"/>
    <w:rsid w:val="00AA3F05"/>
    <w:rsid w:val="00AA46B9"/>
    <w:rsid w:val="00AA5E97"/>
    <w:rsid w:val="00AA6B87"/>
    <w:rsid w:val="00AB09E0"/>
    <w:rsid w:val="00AB2E2C"/>
    <w:rsid w:val="00AB455D"/>
    <w:rsid w:val="00AB5828"/>
    <w:rsid w:val="00AB6200"/>
    <w:rsid w:val="00AB69B4"/>
    <w:rsid w:val="00AB7086"/>
    <w:rsid w:val="00AB7C74"/>
    <w:rsid w:val="00AC0C65"/>
    <w:rsid w:val="00AC11EA"/>
    <w:rsid w:val="00AC1486"/>
    <w:rsid w:val="00AC26BA"/>
    <w:rsid w:val="00AC26E2"/>
    <w:rsid w:val="00AC43A1"/>
    <w:rsid w:val="00AC4F64"/>
    <w:rsid w:val="00AC537E"/>
    <w:rsid w:val="00AC5CCF"/>
    <w:rsid w:val="00AC6412"/>
    <w:rsid w:val="00AC7585"/>
    <w:rsid w:val="00AC7774"/>
    <w:rsid w:val="00AC78D9"/>
    <w:rsid w:val="00AC7AE2"/>
    <w:rsid w:val="00AD0709"/>
    <w:rsid w:val="00AD0FF5"/>
    <w:rsid w:val="00AD122B"/>
    <w:rsid w:val="00AD155F"/>
    <w:rsid w:val="00AD1B8D"/>
    <w:rsid w:val="00AD241D"/>
    <w:rsid w:val="00AD26D3"/>
    <w:rsid w:val="00AD2840"/>
    <w:rsid w:val="00AD4922"/>
    <w:rsid w:val="00AD49FD"/>
    <w:rsid w:val="00AD5664"/>
    <w:rsid w:val="00AD5E35"/>
    <w:rsid w:val="00AD65AF"/>
    <w:rsid w:val="00AD6839"/>
    <w:rsid w:val="00AD6E9F"/>
    <w:rsid w:val="00AE0495"/>
    <w:rsid w:val="00AE10E8"/>
    <w:rsid w:val="00AE1621"/>
    <w:rsid w:val="00AE1AEB"/>
    <w:rsid w:val="00AE331E"/>
    <w:rsid w:val="00AE3926"/>
    <w:rsid w:val="00AE3991"/>
    <w:rsid w:val="00AE3F1A"/>
    <w:rsid w:val="00AE43B9"/>
    <w:rsid w:val="00AE6211"/>
    <w:rsid w:val="00AE64A5"/>
    <w:rsid w:val="00AE6507"/>
    <w:rsid w:val="00AE6D92"/>
    <w:rsid w:val="00AE7E82"/>
    <w:rsid w:val="00AF0AFC"/>
    <w:rsid w:val="00AF10E3"/>
    <w:rsid w:val="00AF11F5"/>
    <w:rsid w:val="00AF1964"/>
    <w:rsid w:val="00AF209E"/>
    <w:rsid w:val="00AF2282"/>
    <w:rsid w:val="00AF3BA8"/>
    <w:rsid w:val="00AF606A"/>
    <w:rsid w:val="00AF6BA0"/>
    <w:rsid w:val="00AF72ED"/>
    <w:rsid w:val="00AF7C19"/>
    <w:rsid w:val="00AF7E55"/>
    <w:rsid w:val="00B01B31"/>
    <w:rsid w:val="00B01FC5"/>
    <w:rsid w:val="00B03B49"/>
    <w:rsid w:val="00B04631"/>
    <w:rsid w:val="00B051A9"/>
    <w:rsid w:val="00B060DA"/>
    <w:rsid w:val="00B06D03"/>
    <w:rsid w:val="00B07B3D"/>
    <w:rsid w:val="00B07D11"/>
    <w:rsid w:val="00B1002B"/>
    <w:rsid w:val="00B10CCC"/>
    <w:rsid w:val="00B10D20"/>
    <w:rsid w:val="00B10F88"/>
    <w:rsid w:val="00B12825"/>
    <w:rsid w:val="00B1311D"/>
    <w:rsid w:val="00B13B5A"/>
    <w:rsid w:val="00B13FEA"/>
    <w:rsid w:val="00B1436A"/>
    <w:rsid w:val="00B15002"/>
    <w:rsid w:val="00B22FE6"/>
    <w:rsid w:val="00B245F2"/>
    <w:rsid w:val="00B272FE"/>
    <w:rsid w:val="00B278B0"/>
    <w:rsid w:val="00B30283"/>
    <w:rsid w:val="00B30AF9"/>
    <w:rsid w:val="00B31B22"/>
    <w:rsid w:val="00B31BFB"/>
    <w:rsid w:val="00B325C7"/>
    <w:rsid w:val="00B32A2E"/>
    <w:rsid w:val="00B333DF"/>
    <w:rsid w:val="00B334DB"/>
    <w:rsid w:val="00B34BDB"/>
    <w:rsid w:val="00B35C81"/>
    <w:rsid w:val="00B373CA"/>
    <w:rsid w:val="00B37B89"/>
    <w:rsid w:val="00B37BF6"/>
    <w:rsid w:val="00B41ACB"/>
    <w:rsid w:val="00B425AD"/>
    <w:rsid w:val="00B43604"/>
    <w:rsid w:val="00B43A98"/>
    <w:rsid w:val="00B468D3"/>
    <w:rsid w:val="00B50700"/>
    <w:rsid w:val="00B51076"/>
    <w:rsid w:val="00B51C58"/>
    <w:rsid w:val="00B521AC"/>
    <w:rsid w:val="00B521B1"/>
    <w:rsid w:val="00B52397"/>
    <w:rsid w:val="00B5239A"/>
    <w:rsid w:val="00B5254A"/>
    <w:rsid w:val="00B52596"/>
    <w:rsid w:val="00B52924"/>
    <w:rsid w:val="00B52F2A"/>
    <w:rsid w:val="00B538BD"/>
    <w:rsid w:val="00B54EDC"/>
    <w:rsid w:val="00B557EE"/>
    <w:rsid w:val="00B56F3E"/>
    <w:rsid w:val="00B56F7D"/>
    <w:rsid w:val="00B57893"/>
    <w:rsid w:val="00B60906"/>
    <w:rsid w:val="00B60A3D"/>
    <w:rsid w:val="00B60A92"/>
    <w:rsid w:val="00B62F5A"/>
    <w:rsid w:val="00B639B1"/>
    <w:rsid w:val="00B64341"/>
    <w:rsid w:val="00B65C21"/>
    <w:rsid w:val="00B66AA0"/>
    <w:rsid w:val="00B67557"/>
    <w:rsid w:val="00B71464"/>
    <w:rsid w:val="00B71ACD"/>
    <w:rsid w:val="00B7425B"/>
    <w:rsid w:val="00B754D2"/>
    <w:rsid w:val="00B75F52"/>
    <w:rsid w:val="00B7657D"/>
    <w:rsid w:val="00B80215"/>
    <w:rsid w:val="00B8028E"/>
    <w:rsid w:val="00B8129E"/>
    <w:rsid w:val="00B8135F"/>
    <w:rsid w:val="00B8223D"/>
    <w:rsid w:val="00B825BB"/>
    <w:rsid w:val="00B826DC"/>
    <w:rsid w:val="00B8348B"/>
    <w:rsid w:val="00B84453"/>
    <w:rsid w:val="00B84558"/>
    <w:rsid w:val="00B873DB"/>
    <w:rsid w:val="00B87615"/>
    <w:rsid w:val="00B907D9"/>
    <w:rsid w:val="00B916C8"/>
    <w:rsid w:val="00B918C5"/>
    <w:rsid w:val="00B92004"/>
    <w:rsid w:val="00B93490"/>
    <w:rsid w:val="00B93912"/>
    <w:rsid w:val="00B94ABD"/>
    <w:rsid w:val="00B94D94"/>
    <w:rsid w:val="00B951F4"/>
    <w:rsid w:val="00B9524D"/>
    <w:rsid w:val="00B96E7D"/>
    <w:rsid w:val="00B97310"/>
    <w:rsid w:val="00B97EAB"/>
    <w:rsid w:val="00BA08D5"/>
    <w:rsid w:val="00BA1D39"/>
    <w:rsid w:val="00BA2907"/>
    <w:rsid w:val="00BA59A5"/>
    <w:rsid w:val="00BA5A75"/>
    <w:rsid w:val="00BB0048"/>
    <w:rsid w:val="00BB0845"/>
    <w:rsid w:val="00BB0AE8"/>
    <w:rsid w:val="00BB13A3"/>
    <w:rsid w:val="00BB19CD"/>
    <w:rsid w:val="00BB2173"/>
    <w:rsid w:val="00BB24B5"/>
    <w:rsid w:val="00BB32E3"/>
    <w:rsid w:val="00BB4184"/>
    <w:rsid w:val="00BB4508"/>
    <w:rsid w:val="00BB61B4"/>
    <w:rsid w:val="00BB6D0D"/>
    <w:rsid w:val="00BB7676"/>
    <w:rsid w:val="00BC0324"/>
    <w:rsid w:val="00BC128B"/>
    <w:rsid w:val="00BC1762"/>
    <w:rsid w:val="00BC1CD1"/>
    <w:rsid w:val="00BC1FF0"/>
    <w:rsid w:val="00BC2430"/>
    <w:rsid w:val="00BC3CEA"/>
    <w:rsid w:val="00BC404C"/>
    <w:rsid w:val="00BC4D83"/>
    <w:rsid w:val="00BC51B2"/>
    <w:rsid w:val="00BC57DB"/>
    <w:rsid w:val="00BC6B9B"/>
    <w:rsid w:val="00BC7687"/>
    <w:rsid w:val="00BD002D"/>
    <w:rsid w:val="00BD0131"/>
    <w:rsid w:val="00BD05B1"/>
    <w:rsid w:val="00BD07A3"/>
    <w:rsid w:val="00BD0829"/>
    <w:rsid w:val="00BD0B60"/>
    <w:rsid w:val="00BD1813"/>
    <w:rsid w:val="00BD196D"/>
    <w:rsid w:val="00BD2178"/>
    <w:rsid w:val="00BD3B75"/>
    <w:rsid w:val="00BD425E"/>
    <w:rsid w:val="00BD4751"/>
    <w:rsid w:val="00BD4F7E"/>
    <w:rsid w:val="00BD64FD"/>
    <w:rsid w:val="00BD6F5F"/>
    <w:rsid w:val="00BD771F"/>
    <w:rsid w:val="00BE0BEA"/>
    <w:rsid w:val="00BE0D7B"/>
    <w:rsid w:val="00BE134B"/>
    <w:rsid w:val="00BE14CB"/>
    <w:rsid w:val="00BE177F"/>
    <w:rsid w:val="00BE3486"/>
    <w:rsid w:val="00BE415D"/>
    <w:rsid w:val="00BE4A63"/>
    <w:rsid w:val="00BE6099"/>
    <w:rsid w:val="00BE674B"/>
    <w:rsid w:val="00BE767A"/>
    <w:rsid w:val="00BE7C87"/>
    <w:rsid w:val="00BE7E9F"/>
    <w:rsid w:val="00BF0643"/>
    <w:rsid w:val="00BF220E"/>
    <w:rsid w:val="00BF27AE"/>
    <w:rsid w:val="00BF2951"/>
    <w:rsid w:val="00BF3F8D"/>
    <w:rsid w:val="00BF4E26"/>
    <w:rsid w:val="00BF52CF"/>
    <w:rsid w:val="00BF5792"/>
    <w:rsid w:val="00BF65B3"/>
    <w:rsid w:val="00BF7733"/>
    <w:rsid w:val="00BF788C"/>
    <w:rsid w:val="00C00522"/>
    <w:rsid w:val="00C00775"/>
    <w:rsid w:val="00C01374"/>
    <w:rsid w:val="00C018DB"/>
    <w:rsid w:val="00C01FBE"/>
    <w:rsid w:val="00C03482"/>
    <w:rsid w:val="00C04E30"/>
    <w:rsid w:val="00C06FC5"/>
    <w:rsid w:val="00C144A7"/>
    <w:rsid w:val="00C14AAD"/>
    <w:rsid w:val="00C157D9"/>
    <w:rsid w:val="00C15C81"/>
    <w:rsid w:val="00C16886"/>
    <w:rsid w:val="00C16ED1"/>
    <w:rsid w:val="00C175B1"/>
    <w:rsid w:val="00C17E6C"/>
    <w:rsid w:val="00C205E5"/>
    <w:rsid w:val="00C20980"/>
    <w:rsid w:val="00C23446"/>
    <w:rsid w:val="00C240AD"/>
    <w:rsid w:val="00C25B48"/>
    <w:rsid w:val="00C27245"/>
    <w:rsid w:val="00C30260"/>
    <w:rsid w:val="00C30447"/>
    <w:rsid w:val="00C30D54"/>
    <w:rsid w:val="00C33A7B"/>
    <w:rsid w:val="00C359CC"/>
    <w:rsid w:val="00C35A23"/>
    <w:rsid w:val="00C36334"/>
    <w:rsid w:val="00C36F4D"/>
    <w:rsid w:val="00C371F5"/>
    <w:rsid w:val="00C40B15"/>
    <w:rsid w:val="00C429A7"/>
    <w:rsid w:val="00C431CF"/>
    <w:rsid w:val="00C44779"/>
    <w:rsid w:val="00C474C8"/>
    <w:rsid w:val="00C519C2"/>
    <w:rsid w:val="00C5217E"/>
    <w:rsid w:val="00C57A4D"/>
    <w:rsid w:val="00C57B73"/>
    <w:rsid w:val="00C60E3B"/>
    <w:rsid w:val="00C6154C"/>
    <w:rsid w:val="00C65A91"/>
    <w:rsid w:val="00C678A4"/>
    <w:rsid w:val="00C67A96"/>
    <w:rsid w:val="00C7031B"/>
    <w:rsid w:val="00C70AEE"/>
    <w:rsid w:val="00C72ED9"/>
    <w:rsid w:val="00C73798"/>
    <w:rsid w:val="00C75446"/>
    <w:rsid w:val="00C75713"/>
    <w:rsid w:val="00C7584E"/>
    <w:rsid w:val="00C77A3C"/>
    <w:rsid w:val="00C80702"/>
    <w:rsid w:val="00C82B11"/>
    <w:rsid w:val="00C83B1C"/>
    <w:rsid w:val="00C8403D"/>
    <w:rsid w:val="00C84274"/>
    <w:rsid w:val="00C84B18"/>
    <w:rsid w:val="00C85815"/>
    <w:rsid w:val="00C869E3"/>
    <w:rsid w:val="00C871E1"/>
    <w:rsid w:val="00C8747A"/>
    <w:rsid w:val="00C87718"/>
    <w:rsid w:val="00C877D2"/>
    <w:rsid w:val="00C8790B"/>
    <w:rsid w:val="00C87A5D"/>
    <w:rsid w:val="00C87AAF"/>
    <w:rsid w:val="00C90CEF"/>
    <w:rsid w:val="00C91151"/>
    <w:rsid w:val="00C9270E"/>
    <w:rsid w:val="00C929D3"/>
    <w:rsid w:val="00C93D1A"/>
    <w:rsid w:val="00C93D98"/>
    <w:rsid w:val="00C940FE"/>
    <w:rsid w:val="00C9517D"/>
    <w:rsid w:val="00C96DFE"/>
    <w:rsid w:val="00C97657"/>
    <w:rsid w:val="00C97C19"/>
    <w:rsid w:val="00CA0F93"/>
    <w:rsid w:val="00CA1C97"/>
    <w:rsid w:val="00CA1E07"/>
    <w:rsid w:val="00CA308D"/>
    <w:rsid w:val="00CA6000"/>
    <w:rsid w:val="00CA6172"/>
    <w:rsid w:val="00CA6552"/>
    <w:rsid w:val="00CA767C"/>
    <w:rsid w:val="00CA7A32"/>
    <w:rsid w:val="00CB012F"/>
    <w:rsid w:val="00CB1388"/>
    <w:rsid w:val="00CB17CB"/>
    <w:rsid w:val="00CB18AB"/>
    <w:rsid w:val="00CB1C84"/>
    <w:rsid w:val="00CB24E3"/>
    <w:rsid w:val="00CB26D9"/>
    <w:rsid w:val="00CB2CCE"/>
    <w:rsid w:val="00CB3A70"/>
    <w:rsid w:val="00CB3C5D"/>
    <w:rsid w:val="00CB4CF2"/>
    <w:rsid w:val="00CB650A"/>
    <w:rsid w:val="00CB6A25"/>
    <w:rsid w:val="00CB6B11"/>
    <w:rsid w:val="00CB6C8E"/>
    <w:rsid w:val="00CB771E"/>
    <w:rsid w:val="00CB7934"/>
    <w:rsid w:val="00CC2A99"/>
    <w:rsid w:val="00CC2E20"/>
    <w:rsid w:val="00CC34C0"/>
    <w:rsid w:val="00CC3600"/>
    <w:rsid w:val="00CC45A3"/>
    <w:rsid w:val="00CC55E7"/>
    <w:rsid w:val="00CC6315"/>
    <w:rsid w:val="00CC7899"/>
    <w:rsid w:val="00CC7FD4"/>
    <w:rsid w:val="00CD0332"/>
    <w:rsid w:val="00CD13CA"/>
    <w:rsid w:val="00CD32E1"/>
    <w:rsid w:val="00CD36F3"/>
    <w:rsid w:val="00CD3DF9"/>
    <w:rsid w:val="00CD3EA0"/>
    <w:rsid w:val="00CD499A"/>
    <w:rsid w:val="00CD50AB"/>
    <w:rsid w:val="00CD53AC"/>
    <w:rsid w:val="00CD5FA5"/>
    <w:rsid w:val="00CD6053"/>
    <w:rsid w:val="00CD64B4"/>
    <w:rsid w:val="00CD662A"/>
    <w:rsid w:val="00CD6759"/>
    <w:rsid w:val="00CD6A9F"/>
    <w:rsid w:val="00CD7209"/>
    <w:rsid w:val="00CE01D4"/>
    <w:rsid w:val="00CE17E1"/>
    <w:rsid w:val="00CE1CE1"/>
    <w:rsid w:val="00CE1FF0"/>
    <w:rsid w:val="00CE2D35"/>
    <w:rsid w:val="00CE3716"/>
    <w:rsid w:val="00CE638D"/>
    <w:rsid w:val="00CE63C6"/>
    <w:rsid w:val="00CE73D5"/>
    <w:rsid w:val="00CF05FE"/>
    <w:rsid w:val="00CF0C57"/>
    <w:rsid w:val="00CF11E8"/>
    <w:rsid w:val="00CF3BCD"/>
    <w:rsid w:val="00CF3F42"/>
    <w:rsid w:val="00CF428D"/>
    <w:rsid w:val="00CF5387"/>
    <w:rsid w:val="00CF61F2"/>
    <w:rsid w:val="00CF7802"/>
    <w:rsid w:val="00D017E8"/>
    <w:rsid w:val="00D024B1"/>
    <w:rsid w:val="00D025BE"/>
    <w:rsid w:val="00D02CA6"/>
    <w:rsid w:val="00D04A10"/>
    <w:rsid w:val="00D07542"/>
    <w:rsid w:val="00D07656"/>
    <w:rsid w:val="00D07773"/>
    <w:rsid w:val="00D07A52"/>
    <w:rsid w:val="00D10D12"/>
    <w:rsid w:val="00D11CC9"/>
    <w:rsid w:val="00D136E2"/>
    <w:rsid w:val="00D136FC"/>
    <w:rsid w:val="00D13CC5"/>
    <w:rsid w:val="00D16CB6"/>
    <w:rsid w:val="00D17604"/>
    <w:rsid w:val="00D1788F"/>
    <w:rsid w:val="00D17C82"/>
    <w:rsid w:val="00D2057F"/>
    <w:rsid w:val="00D21929"/>
    <w:rsid w:val="00D21DDF"/>
    <w:rsid w:val="00D22FEF"/>
    <w:rsid w:val="00D23859"/>
    <w:rsid w:val="00D266D9"/>
    <w:rsid w:val="00D26775"/>
    <w:rsid w:val="00D26F91"/>
    <w:rsid w:val="00D271BC"/>
    <w:rsid w:val="00D27AE0"/>
    <w:rsid w:val="00D31804"/>
    <w:rsid w:val="00D31CEC"/>
    <w:rsid w:val="00D32DEF"/>
    <w:rsid w:val="00D32E26"/>
    <w:rsid w:val="00D33B85"/>
    <w:rsid w:val="00D3465A"/>
    <w:rsid w:val="00D34D23"/>
    <w:rsid w:val="00D35050"/>
    <w:rsid w:val="00D360D2"/>
    <w:rsid w:val="00D365B8"/>
    <w:rsid w:val="00D36ACD"/>
    <w:rsid w:val="00D36C4B"/>
    <w:rsid w:val="00D37161"/>
    <w:rsid w:val="00D37E25"/>
    <w:rsid w:val="00D42D99"/>
    <w:rsid w:val="00D42DC6"/>
    <w:rsid w:val="00D44063"/>
    <w:rsid w:val="00D442D7"/>
    <w:rsid w:val="00D45718"/>
    <w:rsid w:val="00D46905"/>
    <w:rsid w:val="00D46E30"/>
    <w:rsid w:val="00D501E5"/>
    <w:rsid w:val="00D51A2F"/>
    <w:rsid w:val="00D51F39"/>
    <w:rsid w:val="00D527FD"/>
    <w:rsid w:val="00D536D7"/>
    <w:rsid w:val="00D53BD9"/>
    <w:rsid w:val="00D575FC"/>
    <w:rsid w:val="00D57787"/>
    <w:rsid w:val="00D57E2A"/>
    <w:rsid w:val="00D600CB"/>
    <w:rsid w:val="00D603A4"/>
    <w:rsid w:val="00D6188E"/>
    <w:rsid w:val="00D6215A"/>
    <w:rsid w:val="00D6255D"/>
    <w:rsid w:val="00D62C85"/>
    <w:rsid w:val="00D62C93"/>
    <w:rsid w:val="00D62CCF"/>
    <w:rsid w:val="00D63695"/>
    <w:rsid w:val="00D63D9E"/>
    <w:rsid w:val="00D654C1"/>
    <w:rsid w:val="00D657C0"/>
    <w:rsid w:val="00D657D0"/>
    <w:rsid w:val="00D7017D"/>
    <w:rsid w:val="00D70A65"/>
    <w:rsid w:val="00D70CBF"/>
    <w:rsid w:val="00D72278"/>
    <w:rsid w:val="00D7283E"/>
    <w:rsid w:val="00D73736"/>
    <w:rsid w:val="00D74EC9"/>
    <w:rsid w:val="00D75173"/>
    <w:rsid w:val="00D75D3F"/>
    <w:rsid w:val="00D7611A"/>
    <w:rsid w:val="00D764E4"/>
    <w:rsid w:val="00D76911"/>
    <w:rsid w:val="00D76C86"/>
    <w:rsid w:val="00D8008C"/>
    <w:rsid w:val="00D804A9"/>
    <w:rsid w:val="00D80655"/>
    <w:rsid w:val="00D80976"/>
    <w:rsid w:val="00D80EE3"/>
    <w:rsid w:val="00D81407"/>
    <w:rsid w:val="00D828CB"/>
    <w:rsid w:val="00D82CDB"/>
    <w:rsid w:val="00D83012"/>
    <w:rsid w:val="00D84149"/>
    <w:rsid w:val="00D858EA"/>
    <w:rsid w:val="00D85A4C"/>
    <w:rsid w:val="00D85C09"/>
    <w:rsid w:val="00D86377"/>
    <w:rsid w:val="00D866E4"/>
    <w:rsid w:val="00D86997"/>
    <w:rsid w:val="00D909B2"/>
    <w:rsid w:val="00D909CF"/>
    <w:rsid w:val="00D9311F"/>
    <w:rsid w:val="00D934E9"/>
    <w:rsid w:val="00D93E22"/>
    <w:rsid w:val="00D93F1A"/>
    <w:rsid w:val="00D95816"/>
    <w:rsid w:val="00D95DD8"/>
    <w:rsid w:val="00D9617C"/>
    <w:rsid w:val="00D97350"/>
    <w:rsid w:val="00D97515"/>
    <w:rsid w:val="00D97F95"/>
    <w:rsid w:val="00DA0332"/>
    <w:rsid w:val="00DA0A3C"/>
    <w:rsid w:val="00DA1D44"/>
    <w:rsid w:val="00DA2006"/>
    <w:rsid w:val="00DA2643"/>
    <w:rsid w:val="00DA335E"/>
    <w:rsid w:val="00DA494C"/>
    <w:rsid w:val="00DA4FF7"/>
    <w:rsid w:val="00DA5369"/>
    <w:rsid w:val="00DA60AF"/>
    <w:rsid w:val="00DA670A"/>
    <w:rsid w:val="00DA7498"/>
    <w:rsid w:val="00DB0640"/>
    <w:rsid w:val="00DB1336"/>
    <w:rsid w:val="00DB1A2E"/>
    <w:rsid w:val="00DB2803"/>
    <w:rsid w:val="00DB738A"/>
    <w:rsid w:val="00DB74EA"/>
    <w:rsid w:val="00DC0974"/>
    <w:rsid w:val="00DC0B1B"/>
    <w:rsid w:val="00DC0DBB"/>
    <w:rsid w:val="00DC1234"/>
    <w:rsid w:val="00DC317A"/>
    <w:rsid w:val="00DC31A1"/>
    <w:rsid w:val="00DC39D9"/>
    <w:rsid w:val="00DC4914"/>
    <w:rsid w:val="00DD01ED"/>
    <w:rsid w:val="00DD18B0"/>
    <w:rsid w:val="00DD1A41"/>
    <w:rsid w:val="00DD410E"/>
    <w:rsid w:val="00DD44F7"/>
    <w:rsid w:val="00DD53D3"/>
    <w:rsid w:val="00DD5C11"/>
    <w:rsid w:val="00DD61AE"/>
    <w:rsid w:val="00DD6682"/>
    <w:rsid w:val="00DD6846"/>
    <w:rsid w:val="00DD74E6"/>
    <w:rsid w:val="00DD7C86"/>
    <w:rsid w:val="00DE041C"/>
    <w:rsid w:val="00DE0656"/>
    <w:rsid w:val="00DE0B8F"/>
    <w:rsid w:val="00DE10E1"/>
    <w:rsid w:val="00DE1950"/>
    <w:rsid w:val="00DE198A"/>
    <w:rsid w:val="00DE1FF2"/>
    <w:rsid w:val="00DE22C2"/>
    <w:rsid w:val="00DE2C1F"/>
    <w:rsid w:val="00DE2D2B"/>
    <w:rsid w:val="00DE35E7"/>
    <w:rsid w:val="00DE3B82"/>
    <w:rsid w:val="00DE527D"/>
    <w:rsid w:val="00DE5BF4"/>
    <w:rsid w:val="00DE665D"/>
    <w:rsid w:val="00DF18B1"/>
    <w:rsid w:val="00DF2639"/>
    <w:rsid w:val="00DF2B7A"/>
    <w:rsid w:val="00DF3AFA"/>
    <w:rsid w:val="00DF4090"/>
    <w:rsid w:val="00DF51CA"/>
    <w:rsid w:val="00DF6AF6"/>
    <w:rsid w:val="00DF6BC3"/>
    <w:rsid w:val="00DF6E51"/>
    <w:rsid w:val="00DF73FE"/>
    <w:rsid w:val="00E00607"/>
    <w:rsid w:val="00E011AE"/>
    <w:rsid w:val="00E01EB2"/>
    <w:rsid w:val="00E02CEA"/>
    <w:rsid w:val="00E0309C"/>
    <w:rsid w:val="00E043D1"/>
    <w:rsid w:val="00E0477E"/>
    <w:rsid w:val="00E05BD5"/>
    <w:rsid w:val="00E06BD8"/>
    <w:rsid w:val="00E07AA1"/>
    <w:rsid w:val="00E07BE3"/>
    <w:rsid w:val="00E10092"/>
    <w:rsid w:val="00E11120"/>
    <w:rsid w:val="00E12AB3"/>
    <w:rsid w:val="00E1330A"/>
    <w:rsid w:val="00E1358C"/>
    <w:rsid w:val="00E15753"/>
    <w:rsid w:val="00E16C92"/>
    <w:rsid w:val="00E174D9"/>
    <w:rsid w:val="00E17766"/>
    <w:rsid w:val="00E205E3"/>
    <w:rsid w:val="00E20B97"/>
    <w:rsid w:val="00E20FD3"/>
    <w:rsid w:val="00E223B0"/>
    <w:rsid w:val="00E242CB"/>
    <w:rsid w:val="00E2472D"/>
    <w:rsid w:val="00E25033"/>
    <w:rsid w:val="00E2580C"/>
    <w:rsid w:val="00E25BFA"/>
    <w:rsid w:val="00E2692F"/>
    <w:rsid w:val="00E26FED"/>
    <w:rsid w:val="00E270D2"/>
    <w:rsid w:val="00E27B1F"/>
    <w:rsid w:val="00E27D1E"/>
    <w:rsid w:val="00E30562"/>
    <w:rsid w:val="00E3078D"/>
    <w:rsid w:val="00E325A7"/>
    <w:rsid w:val="00E328BC"/>
    <w:rsid w:val="00E33D18"/>
    <w:rsid w:val="00E34772"/>
    <w:rsid w:val="00E35A84"/>
    <w:rsid w:val="00E36AA4"/>
    <w:rsid w:val="00E37C17"/>
    <w:rsid w:val="00E40975"/>
    <w:rsid w:val="00E410AF"/>
    <w:rsid w:val="00E41129"/>
    <w:rsid w:val="00E41172"/>
    <w:rsid w:val="00E41E79"/>
    <w:rsid w:val="00E42E1E"/>
    <w:rsid w:val="00E42F9A"/>
    <w:rsid w:val="00E441D9"/>
    <w:rsid w:val="00E4489B"/>
    <w:rsid w:val="00E4496F"/>
    <w:rsid w:val="00E4558D"/>
    <w:rsid w:val="00E4591D"/>
    <w:rsid w:val="00E47354"/>
    <w:rsid w:val="00E473CE"/>
    <w:rsid w:val="00E4784A"/>
    <w:rsid w:val="00E47CE7"/>
    <w:rsid w:val="00E47EEA"/>
    <w:rsid w:val="00E5018B"/>
    <w:rsid w:val="00E501F0"/>
    <w:rsid w:val="00E5049F"/>
    <w:rsid w:val="00E5095F"/>
    <w:rsid w:val="00E51D88"/>
    <w:rsid w:val="00E521F1"/>
    <w:rsid w:val="00E530FE"/>
    <w:rsid w:val="00E54B96"/>
    <w:rsid w:val="00E55468"/>
    <w:rsid w:val="00E571C3"/>
    <w:rsid w:val="00E57A9A"/>
    <w:rsid w:val="00E60805"/>
    <w:rsid w:val="00E61B8A"/>
    <w:rsid w:val="00E62C21"/>
    <w:rsid w:val="00E6383E"/>
    <w:rsid w:val="00E63924"/>
    <w:rsid w:val="00E6424D"/>
    <w:rsid w:val="00E6601D"/>
    <w:rsid w:val="00E673E5"/>
    <w:rsid w:val="00E71F44"/>
    <w:rsid w:val="00E7240F"/>
    <w:rsid w:val="00E72C2D"/>
    <w:rsid w:val="00E73CF3"/>
    <w:rsid w:val="00E74F05"/>
    <w:rsid w:val="00E75045"/>
    <w:rsid w:val="00E75672"/>
    <w:rsid w:val="00E75689"/>
    <w:rsid w:val="00E76046"/>
    <w:rsid w:val="00E764B3"/>
    <w:rsid w:val="00E775F6"/>
    <w:rsid w:val="00E8191C"/>
    <w:rsid w:val="00E826F0"/>
    <w:rsid w:val="00E83EC9"/>
    <w:rsid w:val="00E8417E"/>
    <w:rsid w:val="00E86119"/>
    <w:rsid w:val="00E86D3F"/>
    <w:rsid w:val="00E90836"/>
    <w:rsid w:val="00E90BE7"/>
    <w:rsid w:val="00E91E37"/>
    <w:rsid w:val="00E9434F"/>
    <w:rsid w:val="00E94B76"/>
    <w:rsid w:val="00E952BA"/>
    <w:rsid w:val="00E97541"/>
    <w:rsid w:val="00E97B78"/>
    <w:rsid w:val="00EA06BF"/>
    <w:rsid w:val="00EA0804"/>
    <w:rsid w:val="00EA2F31"/>
    <w:rsid w:val="00EA3A2E"/>
    <w:rsid w:val="00EA51A5"/>
    <w:rsid w:val="00EA5370"/>
    <w:rsid w:val="00EA53C3"/>
    <w:rsid w:val="00EA56B9"/>
    <w:rsid w:val="00EA5786"/>
    <w:rsid w:val="00EA66FD"/>
    <w:rsid w:val="00EA6700"/>
    <w:rsid w:val="00EA6890"/>
    <w:rsid w:val="00EA75E0"/>
    <w:rsid w:val="00EA77C9"/>
    <w:rsid w:val="00EB024F"/>
    <w:rsid w:val="00EB12F8"/>
    <w:rsid w:val="00EB2143"/>
    <w:rsid w:val="00EB229D"/>
    <w:rsid w:val="00EB2324"/>
    <w:rsid w:val="00EB3352"/>
    <w:rsid w:val="00EB3C6F"/>
    <w:rsid w:val="00EB5524"/>
    <w:rsid w:val="00EB576A"/>
    <w:rsid w:val="00EB7806"/>
    <w:rsid w:val="00EC08DE"/>
    <w:rsid w:val="00EC2575"/>
    <w:rsid w:val="00EC28A7"/>
    <w:rsid w:val="00EC2D9A"/>
    <w:rsid w:val="00EC3BC1"/>
    <w:rsid w:val="00EC481C"/>
    <w:rsid w:val="00EC59AC"/>
    <w:rsid w:val="00EC752C"/>
    <w:rsid w:val="00EC7645"/>
    <w:rsid w:val="00EC78AF"/>
    <w:rsid w:val="00ED095B"/>
    <w:rsid w:val="00ED0FEA"/>
    <w:rsid w:val="00ED160F"/>
    <w:rsid w:val="00ED194C"/>
    <w:rsid w:val="00ED2B9A"/>
    <w:rsid w:val="00ED2F40"/>
    <w:rsid w:val="00ED435D"/>
    <w:rsid w:val="00ED455F"/>
    <w:rsid w:val="00ED7A25"/>
    <w:rsid w:val="00ED7F8D"/>
    <w:rsid w:val="00EE0F73"/>
    <w:rsid w:val="00EE4B9F"/>
    <w:rsid w:val="00EE4C17"/>
    <w:rsid w:val="00EE4F4D"/>
    <w:rsid w:val="00EE585C"/>
    <w:rsid w:val="00EE6FFD"/>
    <w:rsid w:val="00EE71BB"/>
    <w:rsid w:val="00EE7988"/>
    <w:rsid w:val="00EF01A7"/>
    <w:rsid w:val="00EF09B5"/>
    <w:rsid w:val="00EF0D3D"/>
    <w:rsid w:val="00EF102C"/>
    <w:rsid w:val="00EF374A"/>
    <w:rsid w:val="00EF3B59"/>
    <w:rsid w:val="00EF4111"/>
    <w:rsid w:val="00EF594D"/>
    <w:rsid w:val="00EF5BAF"/>
    <w:rsid w:val="00EF5FD3"/>
    <w:rsid w:val="00EF67E0"/>
    <w:rsid w:val="00EF6A7A"/>
    <w:rsid w:val="00EF6C82"/>
    <w:rsid w:val="00EF713F"/>
    <w:rsid w:val="00EF71D1"/>
    <w:rsid w:val="00EF7F18"/>
    <w:rsid w:val="00F00214"/>
    <w:rsid w:val="00F00352"/>
    <w:rsid w:val="00F01310"/>
    <w:rsid w:val="00F017D5"/>
    <w:rsid w:val="00F01A52"/>
    <w:rsid w:val="00F033A5"/>
    <w:rsid w:val="00F06AC6"/>
    <w:rsid w:val="00F06E70"/>
    <w:rsid w:val="00F106D2"/>
    <w:rsid w:val="00F108C8"/>
    <w:rsid w:val="00F10956"/>
    <w:rsid w:val="00F12DF7"/>
    <w:rsid w:val="00F141C9"/>
    <w:rsid w:val="00F210E4"/>
    <w:rsid w:val="00F2220F"/>
    <w:rsid w:val="00F22ADE"/>
    <w:rsid w:val="00F2363F"/>
    <w:rsid w:val="00F2431A"/>
    <w:rsid w:val="00F243D1"/>
    <w:rsid w:val="00F24A63"/>
    <w:rsid w:val="00F259F7"/>
    <w:rsid w:val="00F26AD1"/>
    <w:rsid w:val="00F275B8"/>
    <w:rsid w:val="00F316C5"/>
    <w:rsid w:val="00F3390D"/>
    <w:rsid w:val="00F34A7D"/>
    <w:rsid w:val="00F34CBB"/>
    <w:rsid w:val="00F35963"/>
    <w:rsid w:val="00F35E82"/>
    <w:rsid w:val="00F36D67"/>
    <w:rsid w:val="00F3783F"/>
    <w:rsid w:val="00F37A6C"/>
    <w:rsid w:val="00F40E4C"/>
    <w:rsid w:val="00F41B33"/>
    <w:rsid w:val="00F41EDF"/>
    <w:rsid w:val="00F448C8"/>
    <w:rsid w:val="00F45628"/>
    <w:rsid w:val="00F46148"/>
    <w:rsid w:val="00F4679A"/>
    <w:rsid w:val="00F47B72"/>
    <w:rsid w:val="00F508C6"/>
    <w:rsid w:val="00F51AF8"/>
    <w:rsid w:val="00F51E6E"/>
    <w:rsid w:val="00F52DFA"/>
    <w:rsid w:val="00F53493"/>
    <w:rsid w:val="00F5434B"/>
    <w:rsid w:val="00F554AC"/>
    <w:rsid w:val="00F55CDE"/>
    <w:rsid w:val="00F564DF"/>
    <w:rsid w:val="00F565C9"/>
    <w:rsid w:val="00F57CFB"/>
    <w:rsid w:val="00F604F0"/>
    <w:rsid w:val="00F60566"/>
    <w:rsid w:val="00F60687"/>
    <w:rsid w:val="00F60AA4"/>
    <w:rsid w:val="00F60E87"/>
    <w:rsid w:val="00F61B23"/>
    <w:rsid w:val="00F6232F"/>
    <w:rsid w:val="00F6321D"/>
    <w:rsid w:val="00F6383E"/>
    <w:rsid w:val="00F6470A"/>
    <w:rsid w:val="00F64E21"/>
    <w:rsid w:val="00F652B0"/>
    <w:rsid w:val="00F654B0"/>
    <w:rsid w:val="00F65E0D"/>
    <w:rsid w:val="00F66A2E"/>
    <w:rsid w:val="00F66B6E"/>
    <w:rsid w:val="00F71198"/>
    <w:rsid w:val="00F71205"/>
    <w:rsid w:val="00F71649"/>
    <w:rsid w:val="00F716AF"/>
    <w:rsid w:val="00F718D9"/>
    <w:rsid w:val="00F7196E"/>
    <w:rsid w:val="00F71A35"/>
    <w:rsid w:val="00F72D92"/>
    <w:rsid w:val="00F7335A"/>
    <w:rsid w:val="00F735B0"/>
    <w:rsid w:val="00F73945"/>
    <w:rsid w:val="00F74151"/>
    <w:rsid w:val="00F75435"/>
    <w:rsid w:val="00F75E98"/>
    <w:rsid w:val="00F779F3"/>
    <w:rsid w:val="00F8002B"/>
    <w:rsid w:val="00F8127A"/>
    <w:rsid w:val="00F81FE0"/>
    <w:rsid w:val="00F823FD"/>
    <w:rsid w:val="00F82CE0"/>
    <w:rsid w:val="00F841B3"/>
    <w:rsid w:val="00F842C1"/>
    <w:rsid w:val="00F849A4"/>
    <w:rsid w:val="00F853DA"/>
    <w:rsid w:val="00F863C7"/>
    <w:rsid w:val="00F868FE"/>
    <w:rsid w:val="00F8698E"/>
    <w:rsid w:val="00F904DE"/>
    <w:rsid w:val="00F9096A"/>
    <w:rsid w:val="00F911BF"/>
    <w:rsid w:val="00F91BFE"/>
    <w:rsid w:val="00F92A22"/>
    <w:rsid w:val="00F956F9"/>
    <w:rsid w:val="00F97012"/>
    <w:rsid w:val="00F9782C"/>
    <w:rsid w:val="00F97CFB"/>
    <w:rsid w:val="00FA1332"/>
    <w:rsid w:val="00FA1D26"/>
    <w:rsid w:val="00FA57D6"/>
    <w:rsid w:val="00FA6D3F"/>
    <w:rsid w:val="00FA7315"/>
    <w:rsid w:val="00FA7ABC"/>
    <w:rsid w:val="00FB0A28"/>
    <w:rsid w:val="00FB115B"/>
    <w:rsid w:val="00FB2CA1"/>
    <w:rsid w:val="00FB32C6"/>
    <w:rsid w:val="00FB4139"/>
    <w:rsid w:val="00FB45F5"/>
    <w:rsid w:val="00FB46F0"/>
    <w:rsid w:val="00FB4881"/>
    <w:rsid w:val="00FB4F8D"/>
    <w:rsid w:val="00FB5D9D"/>
    <w:rsid w:val="00FB60FB"/>
    <w:rsid w:val="00FC07FF"/>
    <w:rsid w:val="00FC088D"/>
    <w:rsid w:val="00FC101B"/>
    <w:rsid w:val="00FC179F"/>
    <w:rsid w:val="00FC34FD"/>
    <w:rsid w:val="00FC4F08"/>
    <w:rsid w:val="00FC5335"/>
    <w:rsid w:val="00FC6BCB"/>
    <w:rsid w:val="00FC7430"/>
    <w:rsid w:val="00FD041B"/>
    <w:rsid w:val="00FD0D1C"/>
    <w:rsid w:val="00FD10D2"/>
    <w:rsid w:val="00FD34C5"/>
    <w:rsid w:val="00FD37D1"/>
    <w:rsid w:val="00FD4CDD"/>
    <w:rsid w:val="00FD6847"/>
    <w:rsid w:val="00FE05FE"/>
    <w:rsid w:val="00FE1EFB"/>
    <w:rsid w:val="00FE2D00"/>
    <w:rsid w:val="00FE2F3E"/>
    <w:rsid w:val="00FE377A"/>
    <w:rsid w:val="00FE3BF4"/>
    <w:rsid w:val="00FE3D37"/>
    <w:rsid w:val="00FE3D51"/>
    <w:rsid w:val="00FE4479"/>
    <w:rsid w:val="00FE47B3"/>
    <w:rsid w:val="00FE48C1"/>
    <w:rsid w:val="00FE5716"/>
    <w:rsid w:val="00FE57DB"/>
    <w:rsid w:val="00FE5F05"/>
    <w:rsid w:val="00FE7E0A"/>
    <w:rsid w:val="00FE7FB6"/>
    <w:rsid w:val="00FF0232"/>
    <w:rsid w:val="00FF0358"/>
    <w:rsid w:val="00FF0F83"/>
    <w:rsid w:val="00FF1188"/>
    <w:rsid w:val="00FF1397"/>
    <w:rsid w:val="00FF25B7"/>
    <w:rsid w:val="00FF38CA"/>
    <w:rsid w:val="00FF39E4"/>
    <w:rsid w:val="00FF555D"/>
    <w:rsid w:val="00FF6024"/>
    <w:rsid w:val="00FF60CD"/>
    <w:rsid w:val="00FF65D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8239393"/>
  <w14:defaultImageDpi w14:val="0"/>
  <w15:docId w15:val="{F1F98CA5-6CFD-4F89-A9F5-8F056F68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E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6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A76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5B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138F"/>
    <w:rPr>
      <w:rFonts w:ascii="Tahoma" w:hAnsi="Tahoma" w:cs="Times New Roman"/>
      <w:sz w:val="16"/>
      <w:lang w:val="x-none" w:eastAsia="ru-RU"/>
    </w:rPr>
  </w:style>
  <w:style w:type="paragraph" w:styleId="a5">
    <w:name w:val="header"/>
    <w:basedOn w:val="a"/>
    <w:link w:val="a6"/>
    <w:uiPriority w:val="99"/>
    <w:rsid w:val="00364D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64D10"/>
    <w:rPr>
      <w:rFonts w:ascii="Times New Roman" w:hAnsi="Times New Roman" w:cs="Times New Roman"/>
      <w:sz w:val="24"/>
      <w:lang w:val="x-none" w:eastAsia="ru-RU"/>
    </w:rPr>
  </w:style>
  <w:style w:type="paragraph" w:styleId="a7">
    <w:name w:val="footer"/>
    <w:basedOn w:val="a"/>
    <w:link w:val="a8"/>
    <w:uiPriority w:val="99"/>
    <w:rsid w:val="00364D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4D10"/>
    <w:rPr>
      <w:rFonts w:ascii="Times New Roman" w:hAnsi="Times New Roman" w:cs="Times New Roman"/>
      <w:sz w:val="24"/>
      <w:lang w:val="x-none" w:eastAsia="ru-RU"/>
    </w:rPr>
  </w:style>
  <w:style w:type="character" w:styleId="a9">
    <w:name w:val="annotation reference"/>
    <w:basedOn w:val="a0"/>
    <w:uiPriority w:val="99"/>
    <w:semiHidden/>
    <w:rsid w:val="00F9096A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F909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Pr>
      <w:rFonts w:ascii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F9096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Pr>
      <w:rFonts w:ascii="Times New Roman" w:hAnsi="Times New Roman" w:cs="Times New Roman"/>
      <w:b/>
    </w:rPr>
  </w:style>
  <w:style w:type="paragraph" w:styleId="ae">
    <w:name w:val="List Paragraph"/>
    <w:basedOn w:val="a"/>
    <w:uiPriority w:val="34"/>
    <w:qFormat/>
    <w:rsid w:val="002D19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Placeholder Text"/>
    <w:basedOn w:val="a0"/>
    <w:uiPriority w:val="99"/>
    <w:semiHidden/>
    <w:rsid w:val="006C5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BC88-9D04-420F-87AC-8A5FE7C8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3518</Words>
  <Characters>28433</Characters>
  <Application>Microsoft Office Word</Application>
  <DocSecurity>0</DocSecurity>
  <Lines>236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MFNSO</Company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subject/>
  <dc:creator>Евгений Шпилько</dc:creator>
  <cp:keywords/>
  <dc:description/>
  <cp:lastModifiedBy>Лебедева Алена Евгеньевна</cp:lastModifiedBy>
  <cp:revision>15</cp:revision>
  <cp:lastPrinted>2022-03-17T09:33:00Z</cp:lastPrinted>
  <dcterms:created xsi:type="dcterms:W3CDTF">2021-04-07T10:11:00Z</dcterms:created>
  <dcterms:modified xsi:type="dcterms:W3CDTF">2023-01-10T10:02:00Z</dcterms:modified>
</cp:coreProperties>
</file>