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20F" w:rsidRDefault="00F1420F" w:rsidP="006634A1">
      <w:pPr>
        <w:ind w:firstLine="709"/>
        <w:jc w:val="center"/>
        <w:rPr>
          <w:b/>
          <w:sz w:val="28"/>
          <w:szCs w:val="28"/>
        </w:rPr>
      </w:pPr>
      <w:r w:rsidRPr="00F1420F">
        <w:rPr>
          <w:b/>
          <w:sz w:val="28"/>
          <w:szCs w:val="28"/>
        </w:rPr>
        <w:t>Развитие взаи</w:t>
      </w:r>
      <w:bookmarkStart w:id="0" w:name="_GoBack"/>
      <w:bookmarkEnd w:id="0"/>
      <w:r w:rsidRPr="00F1420F">
        <w:rPr>
          <w:b/>
          <w:sz w:val="28"/>
          <w:szCs w:val="28"/>
        </w:rPr>
        <w:t>модействия контрольно-счетных и финансовых органов в Новосибирской области</w:t>
      </w:r>
    </w:p>
    <w:p w:rsidR="00DF2EF4" w:rsidRDefault="00DF2EF4" w:rsidP="008B483C">
      <w:pPr>
        <w:ind w:firstLine="709"/>
        <w:jc w:val="both"/>
        <w:rPr>
          <w:sz w:val="28"/>
          <w:szCs w:val="28"/>
        </w:rPr>
      </w:pPr>
    </w:p>
    <w:p w:rsidR="00FA56EF" w:rsidRPr="007162A8" w:rsidRDefault="00FA56EF" w:rsidP="00FA56EF">
      <w:pPr>
        <w:ind w:firstLine="709"/>
        <w:jc w:val="both"/>
        <w:rPr>
          <w:sz w:val="28"/>
          <w:szCs w:val="28"/>
        </w:rPr>
      </w:pPr>
      <w:r w:rsidRPr="007162A8">
        <w:rPr>
          <w:sz w:val="28"/>
          <w:szCs w:val="28"/>
        </w:rPr>
        <w:t>В 202</w:t>
      </w:r>
      <w:r w:rsidR="00FE1E8D" w:rsidRPr="007162A8">
        <w:rPr>
          <w:sz w:val="28"/>
          <w:szCs w:val="28"/>
        </w:rPr>
        <w:t>1</w:t>
      </w:r>
      <w:r w:rsidRPr="007162A8">
        <w:rPr>
          <w:sz w:val="28"/>
          <w:szCs w:val="28"/>
        </w:rPr>
        <w:t xml:space="preserve"> году взаимодействие палаты и Министерства финансов НСО было направлено на дальнейшее совершенствование бюджетного законодательства, бюджетного процесса и межбюджетных отношений в Новосибирской области.</w:t>
      </w:r>
    </w:p>
    <w:p w:rsidR="00FE1E8D" w:rsidRPr="007162A8" w:rsidRDefault="00FD5814" w:rsidP="00FD5814">
      <w:pPr>
        <w:ind w:firstLine="709"/>
        <w:jc w:val="both"/>
        <w:rPr>
          <w:sz w:val="28"/>
          <w:szCs w:val="28"/>
        </w:rPr>
      </w:pPr>
      <w:r w:rsidRPr="007162A8">
        <w:rPr>
          <w:sz w:val="28"/>
          <w:szCs w:val="28"/>
        </w:rPr>
        <w:t>Предложения палаты, прежде всего, направлены на совершенствование областного законодательства, предотвращение и предупреждение нарушений, повышение эффективности деятельности органов исполнительной власти, а также достижение национальных целей и стратегических задач развития страны и области.</w:t>
      </w:r>
    </w:p>
    <w:p w:rsidR="00FA56EF" w:rsidRDefault="0055214E" w:rsidP="008B483C">
      <w:pPr>
        <w:ind w:firstLine="709"/>
        <w:jc w:val="both"/>
        <w:rPr>
          <w:sz w:val="28"/>
          <w:szCs w:val="28"/>
        </w:rPr>
      </w:pPr>
      <w:r w:rsidRPr="007162A8">
        <w:rPr>
          <w:sz w:val="28"/>
          <w:szCs w:val="28"/>
        </w:rPr>
        <w:t>Основн</w:t>
      </w:r>
      <w:r w:rsidR="007F3D32" w:rsidRPr="007162A8">
        <w:rPr>
          <w:sz w:val="28"/>
          <w:szCs w:val="28"/>
        </w:rPr>
        <w:t xml:space="preserve">ой формой взаимодействия </w:t>
      </w:r>
      <w:r w:rsidR="00CC5E67" w:rsidRPr="007162A8">
        <w:rPr>
          <w:sz w:val="28"/>
          <w:szCs w:val="28"/>
        </w:rPr>
        <w:t xml:space="preserve">КСП НСО с Министерством финансов НСО </w:t>
      </w:r>
      <w:r w:rsidR="007F3D32" w:rsidRPr="007162A8">
        <w:rPr>
          <w:sz w:val="28"/>
          <w:szCs w:val="28"/>
        </w:rPr>
        <w:t>являются рабочие группы, создаваемые для реализации предложений палаты</w:t>
      </w:r>
      <w:r w:rsidR="00841823" w:rsidRPr="007162A8">
        <w:rPr>
          <w:sz w:val="28"/>
          <w:szCs w:val="28"/>
        </w:rPr>
        <w:t xml:space="preserve">. Регламент </w:t>
      </w:r>
      <w:r w:rsidR="009B54EE" w:rsidRPr="007162A8">
        <w:rPr>
          <w:sz w:val="28"/>
          <w:szCs w:val="28"/>
        </w:rPr>
        <w:t xml:space="preserve">такого </w:t>
      </w:r>
      <w:r w:rsidR="00841823" w:rsidRPr="007162A8">
        <w:rPr>
          <w:sz w:val="28"/>
          <w:szCs w:val="28"/>
        </w:rPr>
        <w:t>взаимодействия утвержден Губернатором области</w:t>
      </w:r>
      <w:r w:rsidR="009B54EE" w:rsidRPr="007162A8">
        <w:rPr>
          <w:sz w:val="28"/>
          <w:szCs w:val="28"/>
        </w:rPr>
        <w:t xml:space="preserve"> и предусматривает обязательное включение в состав рабочих групп представителей палаты</w:t>
      </w:r>
      <w:r w:rsidR="00841823" w:rsidRPr="007162A8">
        <w:rPr>
          <w:sz w:val="28"/>
          <w:szCs w:val="28"/>
        </w:rPr>
        <w:t>.</w:t>
      </w:r>
      <w:r w:rsidR="009B54EE" w:rsidRPr="007162A8">
        <w:rPr>
          <w:sz w:val="28"/>
          <w:szCs w:val="28"/>
        </w:rPr>
        <w:t xml:space="preserve"> Не стоит забывать и </w:t>
      </w:r>
      <w:r w:rsidR="00CC5E67" w:rsidRPr="007162A8">
        <w:rPr>
          <w:sz w:val="28"/>
          <w:szCs w:val="28"/>
        </w:rPr>
        <w:t xml:space="preserve">о </w:t>
      </w:r>
      <w:r w:rsidR="009B54EE" w:rsidRPr="007162A8">
        <w:rPr>
          <w:sz w:val="28"/>
          <w:szCs w:val="28"/>
        </w:rPr>
        <w:t>совместном участии представителей палаты и Министерства в рабочих группах, созданных другими органами исполнительной власти, а также комитет</w:t>
      </w:r>
      <w:r w:rsidR="00C02531" w:rsidRPr="007162A8">
        <w:rPr>
          <w:sz w:val="28"/>
          <w:szCs w:val="28"/>
        </w:rPr>
        <w:t>ами</w:t>
      </w:r>
      <w:r w:rsidR="009B54EE" w:rsidRPr="007162A8">
        <w:rPr>
          <w:sz w:val="28"/>
          <w:szCs w:val="28"/>
        </w:rPr>
        <w:t xml:space="preserve"> Законодательного Собрания.</w:t>
      </w:r>
    </w:p>
    <w:p w:rsidR="00E90DD5" w:rsidRDefault="00E90DD5" w:rsidP="008B483C">
      <w:pPr>
        <w:ind w:firstLine="709"/>
        <w:jc w:val="both"/>
        <w:rPr>
          <w:sz w:val="28"/>
          <w:szCs w:val="28"/>
        </w:rPr>
      </w:pPr>
    </w:p>
    <w:p w:rsidR="007162A8" w:rsidRDefault="007162A8" w:rsidP="0071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году продолжалась работа совершенствованию</w:t>
      </w:r>
      <w:r w:rsidRPr="00FE1E8D">
        <w:rPr>
          <w:sz w:val="28"/>
          <w:szCs w:val="28"/>
        </w:rPr>
        <w:t xml:space="preserve"> областн</w:t>
      </w:r>
      <w:r>
        <w:rPr>
          <w:sz w:val="28"/>
          <w:szCs w:val="28"/>
        </w:rPr>
        <w:t xml:space="preserve">ой программы </w:t>
      </w:r>
      <w:r w:rsidRPr="00FE1E8D">
        <w:rPr>
          <w:sz w:val="28"/>
          <w:szCs w:val="28"/>
        </w:rPr>
        <w:t>Управления финансами</w:t>
      </w:r>
      <w:r>
        <w:rPr>
          <w:sz w:val="28"/>
          <w:szCs w:val="28"/>
        </w:rPr>
        <w:t xml:space="preserve">. С учетом предложений палаты подготовлены изменения, направленные на уточнение общей характеристики и механизма реализации мероприятий программы, </w:t>
      </w:r>
      <w:r w:rsidRPr="00FE1E8D">
        <w:rPr>
          <w:sz w:val="28"/>
          <w:szCs w:val="28"/>
        </w:rPr>
        <w:t>порядка предоставления субсидий региональному центру финансовой грамотности.</w:t>
      </w:r>
    </w:p>
    <w:p w:rsidR="007162A8" w:rsidRDefault="007162A8" w:rsidP="0071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рабочем порядке обсуждались предложения палаты по уточнению общих правил предоставления и распределения межбюджетных субсидий (постановление Правительства НСО 40-п), а также типовых соглашений о предоставлении субсидий. Мы предложили уточнить основания и порядок применения мер ответственности за нарушения, допускаемые муниципальными образованиями при использовании трансфертов.</w:t>
      </w:r>
    </w:p>
    <w:p w:rsidR="007162A8" w:rsidRDefault="007162A8" w:rsidP="007162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предстоит внести соответствующие изменения в нормативные правовые акты.</w:t>
      </w:r>
    </w:p>
    <w:p w:rsidR="007162A8" w:rsidRDefault="007162A8" w:rsidP="008B483C">
      <w:pPr>
        <w:ind w:firstLine="709"/>
        <w:jc w:val="both"/>
        <w:rPr>
          <w:sz w:val="28"/>
          <w:szCs w:val="28"/>
        </w:rPr>
      </w:pPr>
    </w:p>
    <w:p w:rsidR="00FE1E8D" w:rsidRDefault="00F27B71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2021 года на заседании рабочей группы с </w:t>
      </w:r>
      <w:r w:rsidR="000362E3">
        <w:rPr>
          <w:sz w:val="28"/>
          <w:szCs w:val="28"/>
        </w:rPr>
        <w:t xml:space="preserve">участием главных распорядителей были выработаны общие решения по совершенствованию принципов формирования наименований целевых статей расходов областного бюджета. Обсуждение соответствующих предложений палаты началось еще в 2018 году. </w:t>
      </w:r>
      <w:r>
        <w:rPr>
          <w:sz w:val="28"/>
          <w:szCs w:val="28"/>
        </w:rPr>
        <w:t>Но б</w:t>
      </w:r>
      <w:r w:rsidR="000362E3">
        <w:rPr>
          <w:sz w:val="28"/>
          <w:szCs w:val="28"/>
        </w:rPr>
        <w:t xml:space="preserve">ольшинство главных распорядителей не успели учесть одобренные принципы в проекте областного бюджета на 2022-2024 годы. </w:t>
      </w:r>
    </w:p>
    <w:p w:rsidR="00F27B71" w:rsidRDefault="00F27B71" w:rsidP="008B483C">
      <w:pPr>
        <w:ind w:firstLine="709"/>
        <w:jc w:val="both"/>
        <w:rPr>
          <w:sz w:val="28"/>
          <w:szCs w:val="28"/>
        </w:rPr>
      </w:pPr>
      <w:r w:rsidRPr="007162A8">
        <w:rPr>
          <w:sz w:val="28"/>
          <w:szCs w:val="28"/>
        </w:rPr>
        <w:t>Перечнем поручений Губернатора области предусмотрено, что меры по реализации предложений палаты, сделанных по результатам экспертизы проекта областного бюджета, необходимо принять до 01.02.2022. Поскольку изменени</w:t>
      </w:r>
      <w:r w:rsidR="007162A8">
        <w:rPr>
          <w:sz w:val="28"/>
          <w:szCs w:val="28"/>
        </w:rPr>
        <w:t>е</w:t>
      </w:r>
      <w:r>
        <w:rPr>
          <w:sz w:val="28"/>
          <w:szCs w:val="28"/>
        </w:rPr>
        <w:t xml:space="preserve"> наименований целевых статей расходов в течение финансового года не допускается, это нужно будет сделать при составлении проекта областного бюджета на 2023-2025 годы. Предлагаем главным распорядителям еще раз проработать сопоставительную таблиц</w:t>
      </w:r>
      <w:r w:rsidR="007162A8">
        <w:rPr>
          <w:sz w:val="28"/>
          <w:szCs w:val="28"/>
        </w:rPr>
        <w:t>у</w:t>
      </w:r>
      <w:r>
        <w:rPr>
          <w:sz w:val="28"/>
          <w:szCs w:val="28"/>
        </w:rPr>
        <w:t xml:space="preserve"> целевых статей, направлявшуюся Министерством финансов </w:t>
      </w:r>
      <w:r>
        <w:rPr>
          <w:sz w:val="28"/>
          <w:szCs w:val="28"/>
        </w:rPr>
        <w:lastRenderedPageBreak/>
        <w:t>НСО в 2021 году, и уточнить наименования основных мероприятий госпрограмм и направлений расходов бюджета с учетом замечаний палаты.</w:t>
      </w:r>
    </w:p>
    <w:p w:rsidR="00F27B71" w:rsidRDefault="00F27B71" w:rsidP="008B483C">
      <w:pPr>
        <w:ind w:firstLine="709"/>
        <w:jc w:val="both"/>
        <w:rPr>
          <w:sz w:val="28"/>
          <w:szCs w:val="28"/>
        </w:rPr>
      </w:pPr>
    </w:p>
    <w:p w:rsidR="00F27B71" w:rsidRDefault="00F27B71" w:rsidP="00F27B71">
      <w:pPr>
        <w:ind w:firstLine="709"/>
        <w:jc w:val="both"/>
        <w:rPr>
          <w:sz w:val="28"/>
          <w:szCs w:val="28"/>
        </w:rPr>
      </w:pPr>
    </w:p>
    <w:p w:rsidR="00F27B71" w:rsidRDefault="00F73B6F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областном бюджете на 2022 год были реализованы важные изменения принципов распределения финансовой помощи муниципальным образованиям, направленные на сохранение стимулов к увеличению доходов и оптимизации расходов местных бюджетов. Неналоговые доходы теперь не учитываются при распределении дотаций (как это </w:t>
      </w:r>
      <w:r w:rsidR="007162A8">
        <w:rPr>
          <w:sz w:val="28"/>
          <w:szCs w:val="28"/>
        </w:rPr>
        <w:t xml:space="preserve">и </w:t>
      </w:r>
      <w:r>
        <w:rPr>
          <w:sz w:val="28"/>
          <w:szCs w:val="28"/>
        </w:rPr>
        <w:t>предусмотрено БК РФ). При распределении субсидии на обеспечение сбалансированности местных бюджетов используется базовый уровень приоритетных расходов, и при оптимизации затрат не происходит сокращение объемов финансовой помощи.</w:t>
      </w:r>
    </w:p>
    <w:p w:rsidR="00EC7F17" w:rsidRDefault="00EE513F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распределении дотаций поселениям </w:t>
      </w:r>
      <w:r w:rsidRPr="00EE513F">
        <w:rPr>
          <w:sz w:val="28"/>
          <w:szCs w:val="28"/>
        </w:rPr>
        <w:t>муниципальные районы применяют методические рекомендации, подготовленные Министерством финансов НСО с учетом предложений палаты.</w:t>
      </w:r>
      <w:r>
        <w:rPr>
          <w:sz w:val="28"/>
          <w:szCs w:val="28"/>
        </w:rPr>
        <w:t xml:space="preserve"> Эти рекомендации позволяют предотвратить</w:t>
      </w:r>
      <w:r w:rsidR="002A3E7C">
        <w:rPr>
          <w:sz w:val="28"/>
          <w:szCs w:val="28"/>
        </w:rPr>
        <w:t xml:space="preserve"> типичные нарушения, допускавшиеся ранее. Но в 3-х районах, проверенных палатой в 2021 году</w:t>
      </w:r>
      <w:r w:rsidR="00E46767">
        <w:rPr>
          <w:sz w:val="28"/>
          <w:szCs w:val="28"/>
        </w:rPr>
        <w:t xml:space="preserve"> (</w:t>
      </w:r>
      <w:proofErr w:type="spellStart"/>
      <w:r w:rsidR="00E46767">
        <w:rPr>
          <w:sz w:val="28"/>
          <w:szCs w:val="28"/>
        </w:rPr>
        <w:t>Доволенский</w:t>
      </w:r>
      <w:proofErr w:type="spellEnd"/>
      <w:r w:rsidR="00E46767">
        <w:rPr>
          <w:sz w:val="28"/>
          <w:szCs w:val="28"/>
        </w:rPr>
        <w:t>, Карасукский, Чановский)</w:t>
      </w:r>
      <w:r w:rsidR="002A3E7C">
        <w:rPr>
          <w:sz w:val="28"/>
          <w:szCs w:val="28"/>
        </w:rPr>
        <w:t xml:space="preserve">, допускались </w:t>
      </w:r>
      <w:r w:rsidR="00EC7F17">
        <w:rPr>
          <w:sz w:val="28"/>
          <w:szCs w:val="28"/>
        </w:rPr>
        <w:t xml:space="preserve">существенные </w:t>
      </w:r>
      <w:r w:rsidR="002A3E7C">
        <w:rPr>
          <w:sz w:val="28"/>
          <w:szCs w:val="28"/>
        </w:rPr>
        <w:t xml:space="preserve">отступления от утвержденных методик. </w:t>
      </w:r>
      <w:r w:rsidR="00DE02D6">
        <w:rPr>
          <w:sz w:val="28"/>
          <w:szCs w:val="28"/>
        </w:rPr>
        <w:t xml:space="preserve">Предлагаем обратить внимание на подобные нарушения при осуществлении </w:t>
      </w:r>
      <w:r w:rsidR="00DE02D6" w:rsidRPr="00EE513F">
        <w:rPr>
          <w:sz w:val="28"/>
          <w:szCs w:val="28"/>
        </w:rPr>
        <w:t>Министерством финансов НСО</w:t>
      </w:r>
      <w:r w:rsidR="00DE02D6">
        <w:rPr>
          <w:sz w:val="28"/>
          <w:szCs w:val="28"/>
        </w:rPr>
        <w:t xml:space="preserve"> </w:t>
      </w:r>
      <w:r w:rsidR="007162A8">
        <w:rPr>
          <w:sz w:val="28"/>
          <w:szCs w:val="28"/>
        </w:rPr>
        <w:t xml:space="preserve">контроля </w:t>
      </w:r>
      <w:r w:rsidR="00DE02D6">
        <w:rPr>
          <w:sz w:val="28"/>
          <w:szCs w:val="28"/>
        </w:rPr>
        <w:t>за выполнением муниципальными районами переданных им полномочий по расчету дотаций поселениям.</w:t>
      </w:r>
    </w:p>
    <w:p w:rsidR="00EC7F17" w:rsidRDefault="00EC7F17" w:rsidP="008B483C">
      <w:pPr>
        <w:ind w:firstLine="709"/>
        <w:jc w:val="both"/>
        <w:rPr>
          <w:sz w:val="28"/>
          <w:szCs w:val="28"/>
        </w:rPr>
      </w:pPr>
    </w:p>
    <w:p w:rsidR="004C7B57" w:rsidRDefault="00DE02D6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Палата совместно с Министерством финансов НСО и другими областными органами продолжает работу, направленную на устранение и предотвращение типичных нарушений в бюджетном процессе муниципальных образований. В 2021 году в областной информационной системе управления бюджетным процессом реализована возможность </w:t>
      </w:r>
      <w:r w:rsidR="00B00175">
        <w:rPr>
          <w:sz w:val="28"/>
          <w:szCs w:val="28"/>
        </w:rPr>
        <w:t xml:space="preserve">автоматического </w:t>
      </w:r>
      <w:r w:rsidR="00B00175">
        <w:rPr>
          <w:rFonts w:eastAsiaTheme="minorHAnsi"/>
          <w:sz w:val="28"/>
          <w:szCs w:val="28"/>
          <w:lang w:eastAsia="en-US"/>
        </w:rPr>
        <w:t xml:space="preserve">формирования реестров закупок малого объема. Это позволит избежать большинства допускающихся нарушений при их формировании и ведении. Кроме того, </w:t>
      </w:r>
      <w:r w:rsidR="00B00175">
        <w:rPr>
          <w:sz w:val="28"/>
          <w:szCs w:val="28"/>
        </w:rPr>
        <w:t>Министерством финансов НСО подготовлен типовой проект решения о местном бюджете. Представители палаты также приняли участие в нескольких обучающих семинарах для работников муниципальных органов и учреждений, организованных областными органами власти.</w:t>
      </w:r>
    </w:p>
    <w:p w:rsidR="00B00175" w:rsidRDefault="00B00175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проверка годовых отчетов об исполнении бюджетов высокодотационных муниципальных образований показала, что проводимая работа позволяет постепенно повышать качество финансового менеджмента. Например, в прошедшем году не было установлено нарушений при администрировании штрафов, налагаемых административными комиссиями поселений. В прошлые годы штрафы за нарушение областного законодательства в нарушение БК РФ зачислялись в бюджеты поселений. </w:t>
      </w:r>
      <w:r w:rsidR="00E46767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предложени</w:t>
      </w:r>
      <w:r w:rsidR="00E46767">
        <w:rPr>
          <w:sz w:val="28"/>
          <w:szCs w:val="28"/>
        </w:rPr>
        <w:t>й</w:t>
      </w:r>
      <w:r>
        <w:rPr>
          <w:sz w:val="28"/>
          <w:szCs w:val="28"/>
        </w:rPr>
        <w:t xml:space="preserve"> палаты с 2022 года доходы от таких штрафов переданы в местные бюджеты.</w:t>
      </w:r>
    </w:p>
    <w:p w:rsidR="009E7AA5" w:rsidRDefault="009E7AA5" w:rsidP="008B483C">
      <w:pPr>
        <w:ind w:firstLine="709"/>
        <w:jc w:val="both"/>
        <w:rPr>
          <w:sz w:val="28"/>
          <w:szCs w:val="28"/>
        </w:rPr>
      </w:pPr>
    </w:p>
    <w:p w:rsidR="00E46767" w:rsidRDefault="00E46767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поселениях 3-х проверенных районов также не было нарушений </w:t>
      </w:r>
      <w:r w:rsidRPr="00E46767">
        <w:rPr>
          <w:sz w:val="28"/>
          <w:szCs w:val="28"/>
        </w:rPr>
        <w:t>нормативов расходов на содержание органов местного самоуправления</w:t>
      </w:r>
      <w:r>
        <w:rPr>
          <w:sz w:val="28"/>
          <w:szCs w:val="28"/>
        </w:rPr>
        <w:t xml:space="preserve">. В прошлые годы нормативы нарушались в 50% муниципальных образований. </w:t>
      </w:r>
      <w:r w:rsidRPr="00E46767">
        <w:rPr>
          <w:sz w:val="28"/>
          <w:szCs w:val="28"/>
        </w:rPr>
        <w:t>По данным мониторинга, нарушени</w:t>
      </w:r>
      <w:r>
        <w:rPr>
          <w:sz w:val="28"/>
          <w:szCs w:val="28"/>
        </w:rPr>
        <w:t xml:space="preserve">я все еще допускают менее </w:t>
      </w:r>
      <w:r w:rsidRPr="00E46767">
        <w:rPr>
          <w:sz w:val="28"/>
          <w:szCs w:val="28"/>
        </w:rPr>
        <w:t>5% муниципальных образований</w:t>
      </w:r>
      <w:r>
        <w:rPr>
          <w:sz w:val="28"/>
          <w:szCs w:val="28"/>
        </w:rPr>
        <w:t xml:space="preserve">. В </w:t>
      </w:r>
      <w:r>
        <w:rPr>
          <w:sz w:val="28"/>
          <w:szCs w:val="28"/>
        </w:rPr>
        <w:lastRenderedPageBreak/>
        <w:t xml:space="preserve">прошлом году </w:t>
      </w:r>
      <w:r w:rsidRPr="00E46767">
        <w:rPr>
          <w:sz w:val="28"/>
          <w:szCs w:val="28"/>
        </w:rPr>
        <w:t>Министерств</w:t>
      </w:r>
      <w:r w:rsidR="007162A8">
        <w:rPr>
          <w:sz w:val="28"/>
          <w:szCs w:val="28"/>
        </w:rPr>
        <w:t>о</w:t>
      </w:r>
      <w:r w:rsidRPr="00E46767">
        <w:rPr>
          <w:sz w:val="28"/>
          <w:szCs w:val="28"/>
        </w:rPr>
        <w:t xml:space="preserve"> финансов НСО</w:t>
      </w:r>
      <w:r>
        <w:rPr>
          <w:sz w:val="28"/>
          <w:szCs w:val="28"/>
        </w:rPr>
        <w:t xml:space="preserve"> впервые довело информацию о нарушениях до муниципальных контрольно-счетных органов </w:t>
      </w:r>
      <w:r w:rsidR="007162A8">
        <w:rPr>
          <w:sz w:val="28"/>
          <w:szCs w:val="28"/>
        </w:rPr>
        <w:t>для</w:t>
      </w:r>
      <w:r w:rsidR="00A0453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</w:t>
      </w:r>
      <w:r w:rsidR="007162A8">
        <w:rPr>
          <w:sz w:val="28"/>
          <w:szCs w:val="28"/>
        </w:rPr>
        <w:t>я</w:t>
      </w:r>
      <w:r>
        <w:rPr>
          <w:sz w:val="28"/>
          <w:szCs w:val="28"/>
        </w:rPr>
        <w:t xml:space="preserve"> виновных к административной ответственности.</w:t>
      </w:r>
    </w:p>
    <w:p w:rsidR="00E46767" w:rsidRDefault="00A04535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Палата оперативно направила в муниципальные контрольно-счетные органы необходимые методические материалы для составления протоколов за нарушение условий предоставления межбюджетных трансфертов. Но, поскольку соблюдение нормативов – это условие предоставления трансфертов </w:t>
      </w:r>
      <w:r w:rsidR="009E7AA5">
        <w:rPr>
          <w:sz w:val="28"/>
          <w:szCs w:val="28"/>
        </w:rPr>
        <w:t xml:space="preserve">из областного бюджета, целесообразно чтобы протоколы за подобные нарушения составляли областные органы </w:t>
      </w:r>
      <w:r w:rsidR="007162A8">
        <w:rPr>
          <w:sz w:val="28"/>
          <w:szCs w:val="28"/>
        </w:rPr>
        <w:t xml:space="preserve">финансового контроля </w:t>
      </w:r>
      <w:r w:rsidR="009E7AA5">
        <w:rPr>
          <w:sz w:val="28"/>
          <w:szCs w:val="28"/>
        </w:rPr>
        <w:t>и штрафы зачислялись в областной бюджет.</w:t>
      </w:r>
    </w:p>
    <w:p w:rsidR="00E46767" w:rsidRDefault="00E46767" w:rsidP="008B483C">
      <w:pPr>
        <w:ind w:firstLine="709"/>
        <w:jc w:val="both"/>
        <w:rPr>
          <w:sz w:val="28"/>
          <w:szCs w:val="28"/>
        </w:rPr>
      </w:pPr>
    </w:p>
    <w:p w:rsidR="009E7AA5" w:rsidRDefault="009E7AA5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были внесены существенные изменения в федеральный закон о контрольно-счетных органах, которые в том числе направлены на повышение статуса должностных лиц и гарантий осуществления их полномочий. </w:t>
      </w:r>
      <w:r w:rsidR="00382A77">
        <w:rPr>
          <w:sz w:val="28"/>
          <w:szCs w:val="28"/>
        </w:rPr>
        <w:t xml:space="preserve">В частности, председатели, заместители председателя и аудиторы муниципальных контрольно-счетных органов теперь относятся к муниципальным должностям. </w:t>
      </w:r>
      <w:r>
        <w:rPr>
          <w:sz w:val="28"/>
          <w:szCs w:val="28"/>
        </w:rPr>
        <w:t>Мониторинг реализации этих изменений осуществляют Счетная палата РФ и Совет Федерации.</w:t>
      </w:r>
    </w:p>
    <w:p w:rsidR="00382A77" w:rsidRDefault="009E7AA5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до принятия этого закона палата и </w:t>
      </w:r>
      <w:r w:rsidRPr="00E46767">
        <w:rPr>
          <w:sz w:val="28"/>
          <w:szCs w:val="28"/>
        </w:rPr>
        <w:t>Министерств</w:t>
      </w:r>
      <w:r>
        <w:rPr>
          <w:sz w:val="28"/>
          <w:szCs w:val="28"/>
        </w:rPr>
        <w:t>о</w:t>
      </w:r>
      <w:r w:rsidRPr="00E46767">
        <w:rPr>
          <w:sz w:val="28"/>
          <w:szCs w:val="28"/>
        </w:rPr>
        <w:t xml:space="preserve"> финансов НСО</w:t>
      </w:r>
      <w:r>
        <w:rPr>
          <w:sz w:val="28"/>
          <w:szCs w:val="28"/>
        </w:rPr>
        <w:t xml:space="preserve"> </w:t>
      </w:r>
      <w:r w:rsidR="007162A8">
        <w:rPr>
          <w:sz w:val="28"/>
          <w:szCs w:val="28"/>
        </w:rPr>
        <w:t>проанализировали</w:t>
      </w:r>
      <w:r w:rsidR="00821BCF">
        <w:rPr>
          <w:sz w:val="28"/>
          <w:szCs w:val="28"/>
        </w:rPr>
        <w:t xml:space="preserve"> соотношени</w:t>
      </w:r>
      <w:r w:rsidR="007162A8">
        <w:rPr>
          <w:sz w:val="28"/>
          <w:szCs w:val="28"/>
        </w:rPr>
        <w:t>е</w:t>
      </w:r>
      <w:r w:rsidR="00821BCF">
        <w:rPr>
          <w:sz w:val="28"/>
          <w:szCs w:val="28"/>
        </w:rPr>
        <w:t xml:space="preserve"> оплаты труда в контрольно-счетных органах и местных администрациях. Анализ показал, что у администраций гораздо больше возможностей увеличить уровень оплаты труда своих работников за счет премий. </w:t>
      </w:r>
      <w:r w:rsidR="00382A77">
        <w:rPr>
          <w:sz w:val="28"/>
          <w:szCs w:val="28"/>
        </w:rPr>
        <w:t>При этом для муниципальных должностей, в т.ч. в контрольно-счетном органе, выплата премий областной методикой не предусмотрена, и есть случаи</w:t>
      </w:r>
      <w:r w:rsidR="007162A8">
        <w:rPr>
          <w:sz w:val="28"/>
          <w:szCs w:val="28"/>
        </w:rPr>
        <w:t>,</w:t>
      </w:r>
      <w:r w:rsidR="00382A77">
        <w:rPr>
          <w:sz w:val="28"/>
          <w:szCs w:val="28"/>
        </w:rPr>
        <w:t xml:space="preserve"> когда на этом основании премирование фактически не осуществляется (</w:t>
      </w:r>
      <w:r w:rsidR="00382A77" w:rsidRPr="007162A8">
        <w:rPr>
          <w:sz w:val="28"/>
          <w:szCs w:val="28"/>
        </w:rPr>
        <w:t>запрещается</w:t>
      </w:r>
      <w:r w:rsidR="00382A77">
        <w:rPr>
          <w:sz w:val="28"/>
          <w:szCs w:val="28"/>
        </w:rPr>
        <w:t>).</w:t>
      </w:r>
    </w:p>
    <w:p w:rsidR="009E7AA5" w:rsidRDefault="00382A77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предусмотренный областной методикой фонд оплаты труда председателей и аудиторов </w:t>
      </w:r>
      <w:r w:rsidR="00A71962">
        <w:rPr>
          <w:sz w:val="28"/>
          <w:szCs w:val="28"/>
        </w:rPr>
        <w:t xml:space="preserve">контрольно-счетных органов </w:t>
      </w:r>
      <w:r>
        <w:rPr>
          <w:sz w:val="28"/>
          <w:szCs w:val="28"/>
        </w:rPr>
        <w:t xml:space="preserve">для муниципальной должности даже несколько меньше, чем для должности муниципальной службы. Поэтому для наиболее опытных </w:t>
      </w:r>
      <w:r w:rsidR="00A71962">
        <w:rPr>
          <w:sz w:val="28"/>
          <w:szCs w:val="28"/>
        </w:rPr>
        <w:t xml:space="preserve">и профессиональных </w:t>
      </w:r>
      <w:r>
        <w:rPr>
          <w:sz w:val="28"/>
          <w:szCs w:val="28"/>
        </w:rPr>
        <w:t>сотрудников (с максимальным стажем и чином) переход с муниципальной службы на муниципальную должность фактически приведет к уменьшению уровня оплаты труда.</w:t>
      </w:r>
    </w:p>
    <w:p w:rsidR="008C1042" w:rsidRDefault="008C1042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 учесть эти </w:t>
      </w:r>
      <w:proofErr w:type="spellStart"/>
      <w:r w:rsidR="007162A8">
        <w:rPr>
          <w:sz w:val="28"/>
          <w:szCs w:val="28"/>
        </w:rPr>
        <w:t>заменания</w:t>
      </w:r>
      <w:proofErr w:type="spellEnd"/>
      <w:r>
        <w:rPr>
          <w:sz w:val="28"/>
          <w:szCs w:val="28"/>
        </w:rPr>
        <w:t xml:space="preserve"> при внесении изменений в областную методику (в т.ч. в раках приведения ее в соответствие с изменениями законодательств</w:t>
      </w:r>
      <w:r w:rsidR="007162A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7162A8">
        <w:rPr>
          <w:sz w:val="28"/>
          <w:szCs w:val="28"/>
        </w:rPr>
        <w:t>в связи с созданием</w:t>
      </w:r>
      <w:r>
        <w:rPr>
          <w:sz w:val="28"/>
          <w:szCs w:val="28"/>
        </w:rPr>
        <w:t xml:space="preserve"> муниципальных округов).</w:t>
      </w:r>
    </w:p>
    <w:p w:rsidR="009E7AA5" w:rsidRDefault="009E7AA5" w:rsidP="008B483C">
      <w:pPr>
        <w:ind w:firstLine="709"/>
        <w:jc w:val="both"/>
        <w:rPr>
          <w:sz w:val="28"/>
          <w:szCs w:val="28"/>
        </w:rPr>
      </w:pPr>
    </w:p>
    <w:p w:rsidR="00720E5A" w:rsidRDefault="007162A8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ф</w:t>
      </w:r>
      <w:r w:rsidR="00A71962">
        <w:rPr>
          <w:sz w:val="28"/>
          <w:szCs w:val="28"/>
        </w:rPr>
        <w:t>едеральный закон теперь предусматривает право контрольно-счетных органов на постоянный доступ к государственным и муниципальным информационным системам.</w:t>
      </w:r>
      <w:r w:rsidR="00720E5A" w:rsidRPr="00720E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Одним из приоритетных направлений развития </w:t>
      </w:r>
      <w:r w:rsidRPr="00720E5A">
        <w:rPr>
          <w:sz w:val="28"/>
          <w:szCs w:val="28"/>
        </w:rPr>
        <w:t xml:space="preserve">финансового контроля </w:t>
      </w:r>
      <w:r>
        <w:rPr>
          <w:sz w:val="28"/>
          <w:szCs w:val="28"/>
        </w:rPr>
        <w:t>является</w:t>
      </w:r>
      <w:r w:rsidRPr="00720E5A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720E5A" w:rsidRPr="00720E5A">
        <w:rPr>
          <w:sz w:val="28"/>
          <w:szCs w:val="28"/>
        </w:rPr>
        <w:t xml:space="preserve">ифровизация </w:t>
      </w:r>
      <w:r w:rsidR="00720E5A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>с</w:t>
      </w:r>
      <w:r w:rsidR="00720E5A">
        <w:rPr>
          <w:sz w:val="28"/>
          <w:szCs w:val="28"/>
        </w:rPr>
        <w:t xml:space="preserve"> финансовыми органами</w:t>
      </w:r>
      <w:r>
        <w:rPr>
          <w:sz w:val="28"/>
          <w:szCs w:val="28"/>
        </w:rPr>
        <w:t xml:space="preserve"> и другими участниками бюджетного процесса</w:t>
      </w:r>
      <w:r w:rsidR="00720E5A">
        <w:rPr>
          <w:sz w:val="28"/>
          <w:szCs w:val="28"/>
        </w:rPr>
        <w:t>.</w:t>
      </w:r>
    </w:p>
    <w:p w:rsidR="00382A77" w:rsidRDefault="00720E5A" w:rsidP="008B48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сотрудников палаты уже более 10 лет есть прямой доступ со своих рабочих мест к данным областной информационной системы управления бюджетным процессом. В большинстве муниципальных образований также используется областная система, и с учетом новых требований законодательства необходимо обеспечить доступ к ее данным с рабочих мест муниципальных контрольно-счетных органов.</w:t>
      </w:r>
    </w:p>
    <w:p w:rsidR="00A71962" w:rsidRDefault="00A71962" w:rsidP="008B483C">
      <w:pPr>
        <w:ind w:firstLine="709"/>
        <w:jc w:val="both"/>
        <w:rPr>
          <w:sz w:val="28"/>
          <w:szCs w:val="28"/>
        </w:rPr>
      </w:pPr>
    </w:p>
    <w:sectPr w:rsidR="00A71962" w:rsidSect="0032532C">
      <w:headerReference w:type="default" r:id="rId7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A5E" w:rsidRDefault="001C2A5E" w:rsidP="0032532C">
      <w:r>
        <w:separator/>
      </w:r>
    </w:p>
  </w:endnote>
  <w:endnote w:type="continuationSeparator" w:id="0">
    <w:p w:rsidR="001C2A5E" w:rsidRDefault="001C2A5E" w:rsidP="003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A5E" w:rsidRDefault="001C2A5E" w:rsidP="0032532C">
      <w:r>
        <w:separator/>
      </w:r>
    </w:p>
  </w:footnote>
  <w:footnote w:type="continuationSeparator" w:id="0">
    <w:p w:rsidR="001C2A5E" w:rsidRDefault="001C2A5E" w:rsidP="00325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800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07C90" w:rsidRPr="0032532C" w:rsidRDefault="00A07C90" w:rsidP="00B22BF0">
        <w:pPr>
          <w:pStyle w:val="a3"/>
          <w:ind w:firstLine="0"/>
          <w:jc w:val="center"/>
          <w:rPr>
            <w:sz w:val="24"/>
            <w:szCs w:val="24"/>
          </w:rPr>
        </w:pPr>
        <w:r w:rsidRPr="0032532C">
          <w:rPr>
            <w:sz w:val="24"/>
            <w:szCs w:val="24"/>
          </w:rPr>
          <w:fldChar w:fldCharType="begin"/>
        </w:r>
        <w:r w:rsidRPr="0032532C">
          <w:rPr>
            <w:sz w:val="24"/>
            <w:szCs w:val="24"/>
          </w:rPr>
          <w:instrText xml:space="preserve"> PAGE   \* MERGEFORMAT </w:instrText>
        </w:r>
        <w:r w:rsidRPr="0032532C">
          <w:rPr>
            <w:sz w:val="24"/>
            <w:szCs w:val="24"/>
          </w:rPr>
          <w:fldChar w:fldCharType="separate"/>
        </w:r>
        <w:r w:rsidR="007162A8">
          <w:rPr>
            <w:noProof/>
            <w:sz w:val="24"/>
            <w:szCs w:val="24"/>
          </w:rPr>
          <w:t>2</w:t>
        </w:r>
        <w:r w:rsidRPr="0032532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32C"/>
    <w:rsid w:val="000009B6"/>
    <w:rsid w:val="00005F88"/>
    <w:rsid w:val="000109B3"/>
    <w:rsid w:val="00010A3D"/>
    <w:rsid w:val="000171BA"/>
    <w:rsid w:val="00023E5D"/>
    <w:rsid w:val="000323F2"/>
    <w:rsid w:val="000362E3"/>
    <w:rsid w:val="00040C3D"/>
    <w:rsid w:val="00040E1C"/>
    <w:rsid w:val="00044EA3"/>
    <w:rsid w:val="00044F52"/>
    <w:rsid w:val="000463CE"/>
    <w:rsid w:val="000473BD"/>
    <w:rsid w:val="00065C1A"/>
    <w:rsid w:val="00067050"/>
    <w:rsid w:val="000672A4"/>
    <w:rsid w:val="00072B4B"/>
    <w:rsid w:val="00073819"/>
    <w:rsid w:val="00083D18"/>
    <w:rsid w:val="0008690F"/>
    <w:rsid w:val="000A665E"/>
    <w:rsid w:val="000A6A61"/>
    <w:rsid w:val="000A7B61"/>
    <w:rsid w:val="000A7CC0"/>
    <w:rsid w:val="000B041D"/>
    <w:rsid w:val="000B27EF"/>
    <w:rsid w:val="000B4277"/>
    <w:rsid w:val="000B431C"/>
    <w:rsid w:val="000C355A"/>
    <w:rsid w:val="000C613A"/>
    <w:rsid w:val="000C6CE4"/>
    <w:rsid w:val="000D049F"/>
    <w:rsid w:val="000D3036"/>
    <w:rsid w:val="000D3798"/>
    <w:rsid w:val="000D434A"/>
    <w:rsid w:val="000E4178"/>
    <w:rsid w:val="000E58E6"/>
    <w:rsid w:val="000E60D2"/>
    <w:rsid w:val="000E6F11"/>
    <w:rsid w:val="00101B43"/>
    <w:rsid w:val="00104377"/>
    <w:rsid w:val="0010709F"/>
    <w:rsid w:val="0011012B"/>
    <w:rsid w:val="00125F20"/>
    <w:rsid w:val="0013388D"/>
    <w:rsid w:val="00140500"/>
    <w:rsid w:val="0014243B"/>
    <w:rsid w:val="0014554B"/>
    <w:rsid w:val="00166DF0"/>
    <w:rsid w:val="00166F5F"/>
    <w:rsid w:val="001679A4"/>
    <w:rsid w:val="001740E1"/>
    <w:rsid w:val="00176BC7"/>
    <w:rsid w:val="00181A9B"/>
    <w:rsid w:val="001855AE"/>
    <w:rsid w:val="0018633E"/>
    <w:rsid w:val="00191499"/>
    <w:rsid w:val="00196E11"/>
    <w:rsid w:val="001A4D30"/>
    <w:rsid w:val="001A66E5"/>
    <w:rsid w:val="001B0280"/>
    <w:rsid w:val="001B0335"/>
    <w:rsid w:val="001B353E"/>
    <w:rsid w:val="001B48D9"/>
    <w:rsid w:val="001B54D6"/>
    <w:rsid w:val="001C16F7"/>
    <w:rsid w:val="001C2A5E"/>
    <w:rsid w:val="001C4688"/>
    <w:rsid w:val="001D311E"/>
    <w:rsid w:val="001D5D40"/>
    <w:rsid w:val="001D6648"/>
    <w:rsid w:val="001D6B31"/>
    <w:rsid w:val="001E07F1"/>
    <w:rsid w:val="001F7969"/>
    <w:rsid w:val="00203E09"/>
    <w:rsid w:val="002058FA"/>
    <w:rsid w:val="00222F84"/>
    <w:rsid w:val="002342E5"/>
    <w:rsid w:val="002345E9"/>
    <w:rsid w:val="00236970"/>
    <w:rsid w:val="00236DA0"/>
    <w:rsid w:val="002400EB"/>
    <w:rsid w:val="00242B5E"/>
    <w:rsid w:val="00244120"/>
    <w:rsid w:val="002441CA"/>
    <w:rsid w:val="002540CD"/>
    <w:rsid w:val="00255A8B"/>
    <w:rsid w:val="00256581"/>
    <w:rsid w:val="0026520D"/>
    <w:rsid w:val="002667DE"/>
    <w:rsid w:val="00272C6A"/>
    <w:rsid w:val="00274EE6"/>
    <w:rsid w:val="00275A3B"/>
    <w:rsid w:val="002761B3"/>
    <w:rsid w:val="002902BE"/>
    <w:rsid w:val="00290393"/>
    <w:rsid w:val="002A3E7C"/>
    <w:rsid w:val="002A5568"/>
    <w:rsid w:val="002B087C"/>
    <w:rsid w:val="002C17E7"/>
    <w:rsid w:val="002C19B5"/>
    <w:rsid w:val="002C306A"/>
    <w:rsid w:val="002C58E1"/>
    <w:rsid w:val="002D19C0"/>
    <w:rsid w:val="002D547F"/>
    <w:rsid w:val="002E690A"/>
    <w:rsid w:val="002E70E4"/>
    <w:rsid w:val="002F469A"/>
    <w:rsid w:val="002F742C"/>
    <w:rsid w:val="002F7C46"/>
    <w:rsid w:val="003002D2"/>
    <w:rsid w:val="00304AA4"/>
    <w:rsid w:val="00305CE3"/>
    <w:rsid w:val="00310284"/>
    <w:rsid w:val="00314134"/>
    <w:rsid w:val="00314EFD"/>
    <w:rsid w:val="00316F09"/>
    <w:rsid w:val="00317947"/>
    <w:rsid w:val="00323635"/>
    <w:rsid w:val="00323A33"/>
    <w:rsid w:val="0032532C"/>
    <w:rsid w:val="00325A55"/>
    <w:rsid w:val="00330ED5"/>
    <w:rsid w:val="00331276"/>
    <w:rsid w:val="00334FE8"/>
    <w:rsid w:val="003422A3"/>
    <w:rsid w:val="00345B11"/>
    <w:rsid w:val="00351CCC"/>
    <w:rsid w:val="0035735A"/>
    <w:rsid w:val="003602A0"/>
    <w:rsid w:val="00365D2A"/>
    <w:rsid w:val="00372DE1"/>
    <w:rsid w:val="00373315"/>
    <w:rsid w:val="0037423B"/>
    <w:rsid w:val="00374C88"/>
    <w:rsid w:val="00374D8A"/>
    <w:rsid w:val="0037688F"/>
    <w:rsid w:val="003769B5"/>
    <w:rsid w:val="00380852"/>
    <w:rsid w:val="00382A77"/>
    <w:rsid w:val="0038387B"/>
    <w:rsid w:val="00385CB5"/>
    <w:rsid w:val="00385DC2"/>
    <w:rsid w:val="00390205"/>
    <w:rsid w:val="003971D3"/>
    <w:rsid w:val="003A5C91"/>
    <w:rsid w:val="003A78EF"/>
    <w:rsid w:val="003B05E6"/>
    <w:rsid w:val="003B479A"/>
    <w:rsid w:val="003C3240"/>
    <w:rsid w:val="003C5AB2"/>
    <w:rsid w:val="003C6E19"/>
    <w:rsid w:val="003C6F9C"/>
    <w:rsid w:val="003D4951"/>
    <w:rsid w:val="003D522F"/>
    <w:rsid w:val="003D7914"/>
    <w:rsid w:val="003E4C76"/>
    <w:rsid w:val="003F6AC3"/>
    <w:rsid w:val="00405D49"/>
    <w:rsid w:val="00405E8A"/>
    <w:rsid w:val="00406687"/>
    <w:rsid w:val="0041519B"/>
    <w:rsid w:val="004155CF"/>
    <w:rsid w:val="00421553"/>
    <w:rsid w:val="00424E5B"/>
    <w:rsid w:val="0042774B"/>
    <w:rsid w:val="004363EB"/>
    <w:rsid w:val="00440CAA"/>
    <w:rsid w:val="0044475B"/>
    <w:rsid w:val="00444FFB"/>
    <w:rsid w:val="00447981"/>
    <w:rsid w:val="004523C5"/>
    <w:rsid w:val="00452C83"/>
    <w:rsid w:val="00453739"/>
    <w:rsid w:val="004544C6"/>
    <w:rsid w:val="00461445"/>
    <w:rsid w:val="004616D7"/>
    <w:rsid w:val="0046576E"/>
    <w:rsid w:val="00480390"/>
    <w:rsid w:val="004813E5"/>
    <w:rsid w:val="0048694D"/>
    <w:rsid w:val="0049266D"/>
    <w:rsid w:val="00496D16"/>
    <w:rsid w:val="004B1AF8"/>
    <w:rsid w:val="004B5D95"/>
    <w:rsid w:val="004C09F7"/>
    <w:rsid w:val="004C2D71"/>
    <w:rsid w:val="004C5E02"/>
    <w:rsid w:val="004C7B57"/>
    <w:rsid w:val="004D09CD"/>
    <w:rsid w:val="004D2118"/>
    <w:rsid w:val="004D5F79"/>
    <w:rsid w:val="004E1CF6"/>
    <w:rsid w:val="004E5142"/>
    <w:rsid w:val="005028F4"/>
    <w:rsid w:val="00512936"/>
    <w:rsid w:val="00516BC5"/>
    <w:rsid w:val="005179AF"/>
    <w:rsid w:val="0052274B"/>
    <w:rsid w:val="005233A8"/>
    <w:rsid w:val="00532705"/>
    <w:rsid w:val="005344B0"/>
    <w:rsid w:val="00540548"/>
    <w:rsid w:val="005460E5"/>
    <w:rsid w:val="0055214E"/>
    <w:rsid w:val="00553B0D"/>
    <w:rsid w:val="0055410C"/>
    <w:rsid w:val="0055663C"/>
    <w:rsid w:val="0056305C"/>
    <w:rsid w:val="00564644"/>
    <w:rsid w:val="005656A3"/>
    <w:rsid w:val="00567E4C"/>
    <w:rsid w:val="00567F73"/>
    <w:rsid w:val="00571276"/>
    <w:rsid w:val="00572BB4"/>
    <w:rsid w:val="0058559A"/>
    <w:rsid w:val="0058705F"/>
    <w:rsid w:val="005946B7"/>
    <w:rsid w:val="00595E13"/>
    <w:rsid w:val="005A1537"/>
    <w:rsid w:val="005A6B76"/>
    <w:rsid w:val="005D5BD3"/>
    <w:rsid w:val="005D7774"/>
    <w:rsid w:val="005E0347"/>
    <w:rsid w:val="005E4A50"/>
    <w:rsid w:val="005F2AAC"/>
    <w:rsid w:val="00600813"/>
    <w:rsid w:val="0060446F"/>
    <w:rsid w:val="00605805"/>
    <w:rsid w:val="00607D09"/>
    <w:rsid w:val="00613042"/>
    <w:rsid w:val="0061436C"/>
    <w:rsid w:val="00624304"/>
    <w:rsid w:val="00625E38"/>
    <w:rsid w:val="00630C57"/>
    <w:rsid w:val="00633553"/>
    <w:rsid w:val="006354D7"/>
    <w:rsid w:val="0063587B"/>
    <w:rsid w:val="00637506"/>
    <w:rsid w:val="00637BD1"/>
    <w:rsid w:val="006471D6"/>
    <w:rsid w:val="006544D7"/>
    <w:rsid w:val="006634A1"/>
    <w:rsid w:val="0066437E"/>
    <w:rsid w:val="00665351"/>
    <w:rsid w:val="00666802"/>
    <w:rsid w:val="00666D26"/>
    <w:rsid w:val="00667B39"/>
    <w:rsid w:val="00667EAC"/>
    <w:rsid w:val="00671DBA"/>
    <w:rsid w:val="0067202B"/>
    <w:rsid w:val="00672038"/>
    <w:rsid w:val="006727D3"/>
    <w:rsid w:val="006738DA"/>
    <w:rsid w:val="00673B4B"/>
    <w:rsid w:val="0068270F"/>
    <w:rsid w:val="006841C4"/>
    <w:rsid w:val="00692E68"/>
    <w:rsid w:val="006A246C"/>
    <w:rsid w:val="006A320F"/>
    <w:rsid w:val="006A54D2"/>
    <w:rsid w:val="006B3BFB"/>
    <w:rsid w:val="006B4CD4"/>
    <w:rsid w:val="006C6380"/>
    <w:rsid w:val="006D05ED"/>
    <w:rsid w:val="006D73C8"/>
    <w:rsid w:val="006E1AE8"/>
    <w:rsid w:val="006E4219"/>
    <w:rsid w:val="006F36F1"/>
    <w:rsid w:val="0070303D"/>
    <w:rsid w:val="00703A73"/>
    <w:rsid w:val="007063AA"/>
    <w:rsid w:val="007156FE"/>
    <w:rsid w:val="007162A8"/>
    <w:rsid w:val="00717BFF"/>
    <w:rsid w:val="00720E5A"/>
    <w:rsid w:val="00722865"/>
    <w:rsid w:val="00734C40"/>
    <w:rsid w:val="00744084"/>
    <w:rsid w:val="00747BD7"/>
    <w:rsid w:val="00750C5D"/>
    <w:rsid w:val="00753D24"/>
    <w:rsid w:val="007636A9"/>
    <w:rsid w:val="00767719"/>
    <w:rsid w:val="00776773"/>
    <w:rsid w:val="00777E92"/>
    <w:rsid w:val="007813CF"/>
    <w:rsid w:val="0078691B"/>
    <w:rsid w:val="007874C6"/>
    <w:rsid w:val="00793542"/>
    <w:rsid w:val="0079660D"/>
    <w:rsid w:val="007A5C9C"/>
    <w:rsid w:val="007B2D36"/>
    <w:rsid w:val="007B615D"/>
    <w:rsid w:val="007B65C3"/>
    <w:rsid w:val="007C0BF4"/>
    <w:rsid w:val="007C2535"/>
    <w:rsid w:val="007D7960"/>
    <w:rsid w:val="007E0E4C"/>
    <w:rsid w:val="007E3319"/>
    <w:rsid w:val="007F3D32"/>
    <w:rsid w:val="007F477C"/>
    <w:rsid w:val="007F54BD"/>
    <w:rsid w:val="007F5CF6"/>
    <w:rsid w:val="007F7395"/>
    <w:rsid w:val="00800685"/>
    <w:rsid w:val="008007B1"/>
    <w:rsid w:val="00806026"/>
    <w:rsid w:val="0081440A"/>
    <w:rsid w:val="00814D20"/>
    <w:rsid w:val="008214B2"/>
    <w:rsid w:val="00821BCF"/>
    <w:rsid w:val="0082364D"/>
    <w:rsid w:val="008313CF"/>
    <w:rsid w:val="008324E6"/>
    <w:rsid w:val="00840935"/>
    <w:rsid w:val="00841823"/>
    <w:rsid w:val="00841C4C"/>
    <w:rsid w:val="00842A48"/>
    <w:rsid w:val="00846BF7"/>
    <w:rsid w:val="008476E2"/>
    <w:rsid w:val="00857E1A"/>
    <w:rsid w:val="00860781"/>
    <w:rsid w:val="00860ABA"/>
    <w:rsid w:val="00863F09"/>
    <w:rsid w:val="00872C5F"/>
    <w:rsid w:val="00876FDB"/>
    <w:rsid w:val="00881DD4"/>
    <w:rsid w:val="0088363C"/>
    <w:rsid w:val="0088745E"/>
    <w:rsid w:val="00890F08"/>
    <w:rsid w:val="00891B7A"/>
    <w:rsid w:val="008965A4"/>
    <w:rsid w:val="008A3B1F"/>
    <w:rsid w:val="008B22ED"/>
    <w:rsid w:val="008B483C"/>
    <w:rsid w:val="008B667B"/>
    <w:rsid w:val="008B684E"/>
    <w:rsid w:val="008B6AAC"/>
    <w:rsid w:val="008B773E"/>
    <w:rsid w:val="008C0480"/>
    <w:rsid w:val="008C097E"/>
    <w:rsid w:val="008C1042"/>
    <w:rsid w:val="008C2290"/>
    <w:rsid w:val="008C3654"/>
    <w:rsid w:val="008C40FC"/>
    <w:rsid w:val="008D2D2E"/>
    <w:rsid w:val="008D7AF3"/>
    <w:rsid w:val="008D7BCF"/>
    <w:rsid w:val="008E2813"/>
    <w:rsid w:val="008E4FE9"/>
    <w:rsid w:val="008F2653"/>
    <w:rsid w:val="008F30A3"/>
    <w:rsid w:val="00902DA6"/>
    <w:rsid w:val="00906A8E"/>
    <w:rsid w:val="00915476"/>
    <w:rsid w:val="00927518"/>
    <w:rsid w:val="00932003"/>
    <w:rsid w:val="00933E64"/>
    <w:rsid w:val="009453A1"/>
    <w:rsid w:val="009467EB"/>
    <w:rsid w:val="00951598"/>
    <w:rsid w:val="00951C61"/>
    <w:rsid w:val="0095481F"/>
    <w:rsid w:val="0095758D"/>
    <w:rsid w:val="00957BA3"/>
    <w:rsid w:val="00957D13"/>
    <w:rsid w:val="00963C16"/>
    <w:rsid w:val="00963E26"/>
    <w:rsid w:val="0096481D"/>
    <w:rsid w:val="00966548"/>
    <w:rsid w:val="009740A9"/>
    <w:rsid w:val="0098002D"/>
    <w:rsid w:val="0098352B"/>
    <w:rsid w:val="009A1122"/>
    <w:rsid w:val="009A423E"/>
    <w:rsid w:val="009A4BC7"/>
    <w:rsid w:val="009A6342"/>
    <w:rsid w:val="009A77A6"/>
    <w:rsid w:val="009B3C92"/>
    <w:rsid w:val="009B54EE"/>
    <w:rsid w:val="009B5593"/>
    <w:rsid w:val="009B7251"/>
    <w:rsid w:val="009C01AF"/>
    <w:rsid w:val="009C5AA9"/>
    <w:rsid w:val="009D4E9C"/>
    <w:rsid w:val="009D7C65"/>
    <w:rsid w:val="009E4E16"/>
    <w:rsid w:val="009E7AA5"/>
    <w:rsid w:val="009E7AD7"/>
    <w:rsid w:val="009F4075"/>
    <w:rsid w:val="009F7E57"/>
    <w:rsid w:val="00A017E5"/>
    <w:rsid w:val="00A04131"/>
    <w:rsid w:val="00A04535"/>
    <w:rsid w:val="00A07C90"/>
    <w:rsid w:val="00A11154"/>
    <w:rsid w:val="00A13057"/>
    <w:rsid w:val="00A20480"/>
    <w:rsid w:val="00A24BB7"/>
    <w:rsid w:val="00A26EAE"/>
    <w:rsid w:val="00A30BD1"/>
    <w:rsid w:val="00A41065"/>
    <w:rsid w:val="00A41E2D"/>
    <w:rsid w:val="00A54F36"/>
    <w:rsid w:val="00A55FA0"/>
    <w:rsid w:val="00A649D0"/>
    <w:rsid w:val="00A65763"/>
    <w:rsid w:val="00A67FCF"/>
    <w:rsid w:val="00A71962"/>
    <w:rsid w:val="00A74F60"/>
    <w:rsid w:val="00A915C6"/>
    <w:rsid w:val="00AA1794"/>
    <w:rsid w:val="00AA2301"/>
    <w:rsid w:val="00AA3CAB"/>
    <w:rsid w:val="00AA6A9E"/>
    <w:rsid w:val="00AB39F5"/>
    <w:rsid w:val="00AC2AD5"/>
    <w:rsid w:val="00AD39BE"/>
    <w:rsid w:val="00AE16AA"/>
    <w:rsid w:val="00AE5C24"/>
    <w:rsid w:val="00AE7941"/>
    <w:rsid w:val="00AF3218"/>
    <w:rsid w:val="00AF3842"/>
    <w:rsid w:val="00AF3C1A"/>
    <w:rsid w:val="00B00175"/>
    <w:rsid w:val="00B00F8F"/>
    <w:rsid w:val="00B05267"/>
    <w:rsid w:val="00B05BC3"/>
    <w:rsid w:val="00B11A93"/>
    <w:rsid w:val="00B12728"/>
    <w:rsid w:val="00B16639"/>
    <w:rsid w:val="00B17DBB"/>
    <w:rsid w:val="00B21F43"/>
    <w:rsid w:val="00B22BF0"/>
    <w:rsid w:val="00B255C8"/>
    <w:rsid w:val="00B2573C"/>
    <w:rsid w:val="00B25E83"/>
    <w:rsid w:val="00B2766F"/>
    <w:rsid w:val="00B30D24"/>
    <w:rsid w:val="00B33F89"/>
    <w:rsid w:val="00B356CC"/>
    <w:rsid w:val="00B403FB"/>
    <w:rsid w:val="00B4428C"/>
    <w:rsid w:val="00B45985"/>
    <w:rsid w:val="00B5053F"/>
    <w:rsid w:val="00B53434"/>
    <w:rsid w:val="00B56301"/>
    <w:rsid w:val="00B60140"/>
    <w:rsid w:val="00B60C32"/>
    <w:rsid w:val="00B62CFC"/>
    <w:rsid w:val="00B62D3C"/>
    <w:rsid w:val="00B630E8"/>
    <w:rsid w:val="00B6375B"/>
    <w:rsid w:val="00B70BA1"/>
    <w:rsid w:val="00B75863"/>
    <w:rsid w:val="00B85D98"/>
    <w:rsid w:val="00B86751"/>
    <w:rsid w:val="00B93B0E"/>
    <w:rsid w:val="00B94DB6"/>
    <w:rsid w:val="00BA01A2"/>
    <w:rsid w:val="00BA4D42"/>
    <w:rsid w:val="00BA5267"/>
    <w:rsid w:val="00BA7D52"/>
    <w:rsid w:val="00BA7F91"/>
    <w:rsid w:val="00BB0670"/>
    <w:rsid w:val="00BB136D"/>
    <w:rsid w:val="00BB49CA"/>
    <w:rsid w:val="00BB7A37"/>
    <w:rsid w:val="00BB7BD4"/>
    <w:rsid w:val="00BC2C20"/>
    <w:rsid w:val="00BD11EF"/>
    <w:rsid w:val="00BD36B3"/>
    <w:rsid w:val="00BE261D"/>
    <w:rsid w:val="00BE373B"/>
    <w:rsid w:val="00BE7E95"/>
    <w:rsid w:val="00BF1D4B"/>
    <w:rsid w:val="00BF3311"/>
    <w:rsid w:val="00BF3CBF"/>
    <w:rsid w:val="00C02531"/>
    <w:rsid w:val="00C03177"/>
    <w:rsid w:val="00C11B08"/>
    <w:rsid w:val="00C201EB"/>
    <w:rsid w:val="00C2157D"/>
    <w:rsid w:val="00C3000D"/>
    <w:rsid w:val="00C3478B"/>
    <w:rsid w:val="00C35A5B"/>
    <w:rsid w:val="00C45F90"/>
    <w:rsid w:val="00C46483"/>
    <w:rsid w:val="00C506B1"/>
    <w:rsid w:val="00C5167D"/>
    <w:rsid w:val="00C53B1B"/>
    <w:rsid w:val="00C53C8B"/>
    <w:rsid w:val="00C5544D"/>
    <w:rsid w:val="00C62ED5"/>
    <w:rsid w:val="00C7101B"/>
    <w:rsid w:val="00C73436"/>
    <w:rsid w:val="00C80EB3"/>
    <w:rsid w:val="00C828DE"/>
    <w:rsid w:val="00C96471"/>
    <w:rsid w:val="00C97251"/>
    <w:rsid w:val="00C9763A"/>
    <w:rsid w:val="00CA4C52"/>
    <w:rsid w:val="00CC10EE"/>
    <w:rsid w:val="00CC559F"/>
    <w:rsid w:val="00CC5E67"/>
    <w:rsid w:val="00CC6FCA"/>
    <w:rsid w:val="00CE164B"/>
    <w:rsid w:val="00CE2B4E"/>
    <w:rsid w:val="00CE4AA1"/>
    <w:rsid w:val="00CE5A04"/>
    <w:rsid w:val="00CF3751"/>
    <w:rsid w:val="00CF3B8F"/>
    <w:rsid w:val="00D00CEC"/>
    <w:rsid w:val="00D00E84"/>
    <w:rsid w:val="00D07D34"/>
    <w:rsid w:val="00D108C6"/>
    <w:rsid w:val="00D13B05"/>
    <w:rsid w:val="00D31985"/>
    <w:rsid w:val="00D34107"/>
    <w:rsid w:val="00D429BF"/>
    <w:rsid w:val="00D42CDA"/>
    <w:rsid w:val="00D43CD5"/>
    <w:rsid w:val="00D4541D"/>
    <w:rsid w:val="00D50071"/>
    <w:rsid w:val="00D50426"/>
    <w:rsid w:val="00D5090A"/>
    <w:rsid w:val="00D50BC4"/>
    <w:rsid w:val="00D50C77"/>
    <w:rsid w:val="00D51E89"/>
    <w:rsid w:val="00D52DCF"/>
    <w:rsid w:val="00D576DB"/>
    <w:rsid w:val="00D84AC4"/>
    <w:rsid w:val="00D86E56"/>
    <w:rsid w:val="00D950E8"/>
    <w:rsid w:val="00D97693"/>
    <w:rsid w:val="00DA43D0"/>
    <w:rsid w:val="00DB2233"/>
    <w:rsid w:val="00DC064C"/>
    <w:rsid w:val="00DD416B"/>
    <w:rsid w:val="00DE02D6"/>
    <w:rsid w:val="00DF2EF4"/>
    <w:rsid w:val="00DF64D3"/>
    <w:rsid w:val="00DF696A"/>
    <w:rsid w:val="00DF7588"/>
    <w:rsid w:val="00DF7CDF"/>
    <w:rsid w:val="00E018D3"/>
    <w:rsid w:val="00E03F03"/>
    <w:rsid w:val="00E04999"/>
    <w:rsid w:val="00E15CF2"/>
    <w:rsid w:val="00E20600"/>
    <w:rsid w:val="00E36A10"/>
    <w:rsid w:val="00E46767"/>
    <w:rsid w:val="00E56469"/>
    <w:rsid w:val="00E56A18"/>
    <w:rsid w:val="00E62091"/>
    <w:rsid w:val="00E63D3D"/>
    <w:rsid w:val="00E64F38"/>
    <w:rsid w:val="00E73F4E"/>
    <w:rsid w:val="00E852F1"/>
    <w:rsid w:val="00E90DD5"/>
    <w:rsid w:val="00EA368C"/>
    <w:rsid w:val="00EA7F34"/>
    <w:rsid w:val="00EB5E20"/>
    <w:rsid w:val="00EC0443"/>
    <w:rsid w:val="00EC1A49"/>
    <w:rsid w:val="00EC495F"/>
    <w:rsid w:val="00EC4DBC"/>
    <w:rsid w:val="00EC7F17"/>
    <w:rsid w:val="00ED10E7"/>
    <w:rsid w:val="00ED7C82"/>
    <w:rsid w:val="00EE1AAE"/>
    <w:rsid w:val="00EE513F"/>
    <w:rsid w:val="00EE5E64"/>
    <w:rsid w:val="00EF7816"/>
    <w:rsid w:val="00F0039C"/>
    <w:rsid w:val="00F10BA2"/>
    <w:rsid w:val="00F1420F"/>
    <w:rsid w:val="00F215FA"/>
    <w:rsid w:val="00F2464C"/>
    <w:rsid w:val="00F2587F"/>
    <w:rsid w:val="00F27B71"/>
    <w:rsid w:val="00F306A3"/>
    <w:rsid w:val="00F32FE9"/>
    <w:rsid w:val="00F33D21"/>
    <w:rsid w:val="00F50609"/>
    <w:rsid w:val="00F50F1A"/>
    <w:rsid w:val="00F54588"/>
    <w:rsid w:val="00F54C2A"/>
    <w:rsid w:val="00F73B6F"/>
    <w:rsid w:val="00F73C09"/>
    <w:rsid w:val="00F75E3D"/>
    <w:rsid w:val="00F7720C"/>
    <w:rsid w:val="00F83108"/>
    <w:rsid w:val="00F84F7C"/>
    <w:rsid w:val="00F914B0"/>
    <w:rsid w:val="00F94D73"/>
    <w:rsid w:val="00FA4FC9"/>
    <w:rsid w:val="00FA56EF"/>
    <w:rsid w:val="00FA7708"/>
    <w:rsid w:val="00FB6DD6"/>
    <w:rsid w:val="00FC080D"/>
    <w:rsid w:val="00FC7E3F"/>
    <w:rsid w:val="00FD5814"/>
    <w:rsid w:val="00FE17F5"/>
    <w:rsid w:val="00FE1E8D"/>
    <w:rsid w:val="00FE270E"/>
    <w:rsid w:val="00FE44B2"/>
    <w:rsid w:val="00FE68B8"/>
    <w:rsid w:val="00FE6EBE"/>
    <w:rsid w:val="00FF03C3"/>
    <w:rsid w:val="00FF38A7"/>
    <w:rsid w:val="00FF4889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5C388-9CAD-4640-8BEC-E280A82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autoRedefine/>
    <w:qFormat/>
    <w:rsid w:val="00073819"/>
    <w:pPr>
      <w:keepNext/>
      <w:spacing w:before="120" w:after="6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32C"/>
    <w:pPr>
      <w:tabs>
        <w:tab w:val="center" w:pos="4677"/>
        <w:tab w:val="right" w:pos="9355"/>
      </w:tabs>
      <w:ind w:firstLine="709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25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semiHidden/>
    <w:unhideWhenUsed/>
    <w:rsid w:val="00325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532C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0738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7E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E1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17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25F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a">
    <w:name w:val="Знак Знак Знак Знак Знак Знак Знак"/>
    <w:basedOn w:val="a"/>
    <w:autoRedefine/>
    <w:rsid w:val="00B6014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AE7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2EE8A-7249-487A-8192-CC4C78BE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analit</dc:creator>
  <cp:lastModifiedBy>Журавлева Екатерина Сергеевна</cp:lastModifiedBy>
  <cp:revision>10</cp:revision>
  <cp:lastPrinted>2015-12-02T04:46:00Z</cp:lastPrinted>
  <dcterms:created xsi:type="dcterms:W3CDTF">2022-01-21T06:49:00Z</dcterms:created>
  <dcterms:modified xsi:type="dcterms:W3CDTF">2024-02-14T05:05:00Z</dcterms:modified>
</cp:coreProperties>
</file>